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b/>
                <w:bCs/>
                <w:sz w:val="22"/>
              </w:rPr>
              <w:t>Ordonnance</w:t>
            </w:r>
            <w:r>
              <w:rPr>
                <w:b/>
                <w:bCs/>
                <w:sz w:val="22"/>
              </w:rPr>
              <w:br/>
              <w:t>de la commune municipale/commune bourgeoise/paroisse XX sur les droits d'accès aux fichiers centralisés de données personnelles (O FDP XX)</w:t>
            </w:r>
          </w:p>
        </w:tc>
      </w:tr>
      <w:tr w:rsidR="00A14885" w:rsidTr="004874CE">
        <w:tc>
          <w:tcPr>
            <w:tcW w:w="9781" w:type="dxa"/>
            <w:shd w:val="clear" w:color="auto" w:fill="auto"/>
          </w:tcPr>
          <w:p w:rsidR="00A14885" w:rsidRDefault="00A14885">
            <w:pPr>
              <w:pStyle w:val="TableContents"/>
              <w:rPr>
                <w:b/>
                <w:bCs/>
                <w:sz w:val="22"/>
              </w:rPr>
            </w:pP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Autor"/>
            </w:pPr>
            <w:r>
              <w:t>Le conseil municipal/bourgeois/de paroisse de XX,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t>vu l'article 8 de la loi du 10 mars 2020 sur les fichiers centralisés de données personnelles (LFDP)</w:t>
            </w:r>
            <w:r>
              <w:rPr>
                <w:rStyle w:val="Funotenzeichen"/>
              </w:rPr>
              <w:footnoteReference w:id="1"/>
            </w:r>
            <w:r>
              <w:rPr>
                <w:rStyle w:val="Funotenzeichen"/>
              </w:rPr>
              <w:t>)</w:t>
            </w:r>
            <w:r>
              <w:t> et l'article 18, alinéa 4 de l'ordonnance du 20 janvier 2021 sur la plate-forme des systèmes des registres communaux (O GERES)</w:t>
            </w:r>
            <w:r>
              <w:rPr>
                <w:rStyle w:val="Funotenzeichen"/>
              </w:rPr>
              <w:footnoteReference w:id="2"/>
            </w:r>
            <w:r>
              <w:rPr>
                <w:rStyle w:val="Funotenzeichen"/>
              </w:rPr>
              <w:t>)</w:t>
            </w:r>
            <w:r>
              <w:t>,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Aktion"/>
            </w:pPr>
            <w:r>
              <w:t>arrête: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Pr="004874CE" w:rsidRDefault="004874CE" w:rsidP="004874CE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 xml:space="preserve">Art. </w:t>
            </w:r>
            <w:r w:rsidRPr="004874CE">
              <w:rPr>
                <w:b/>
                <w:bCs/>
              </w:rPr>
              <w:t xml:space="preserve">1 </w:t>
            </w:r>
            <w:r w:rsidRPr="004874CE">
              <w:rPr>
                <w:b/>
              </w:rPr>
              <w:t>Objet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La présente ordonnance règle les droits à demander l’accès et les droits d’accès ainsi que l'accès via des systèmes à des fichiers centralisés de données personnelles au sens de l'article 4, alinéa 1, lettre b LFDP.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Elle contient la réglementation de la commune municipale/commune bourgeoise/paroisse de XX 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 w:rsidP="004874CE">
            <w:pPr>
              <w:pStyle w:val="TableContents"/>
              <w:ind w:left="179" w:right="3" w:hanging="189"/>
            </w:pPr>
            <w:r>
              <w:t>a des droits à demander l'accès et des droits d'accès pour la plate-forme des systèmes des registres communaux (plate-forme GERES) qui vont au-delà de ceux fixés à l'annexe 3 O GERES, conformément à l'article 18 O GERES.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Pr="004874CE" w:rsidRDefault="004874CE" w:rsidP="004874CE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 xml:space="preserve">Art. </w:t>
            </w:r>
            <w:r w:rsidRPr="004874CE">
              <w:rPr>
                <w:b/>
                <w:bCs/>
              </w:rPr>
              <w:t xml:space="preserve">2 </w:t>
            </w:r>
            <w:r w:rsidRPr="004874CE">
              <w:rPr>
                <w:b/>
              </w:rPr>
              <w:t>Champ d'application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La présente ordonnance s'applique aux entités suivantes de la commune municipale/commune bourgeoise/paroisse de XX: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 w:rsidP="004874CE">
            <w:pPr>
              <w:pStyle w:val="TableContents"/>
              <w:ind w:left="179" w:right="3" w:hanging="189"/>
            </w:pPr>
            <w:r>
              <w:t>a unités organisationnelles sans personnalité juridique qui lui sont subordonnées,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 w:rsidP="004874CE">
            <w:pPr>
              <w:pStyle w:val="TableContents"/>
              <w:ind w:left="179" w:right="3" w:hanging="189"/>
            </w:pPr>
            <w:r>
              <w:t>b organisations chargées de tâches publiques sous sa surveillance,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 w:rsidP="00B44408">
            <w:pPr>
              <w:pStyle w:val="TableContents"/>
              <w:ind w:left="179" w:right="3" w:hanging="189"/>
            </w:pPr>
            <w:r>
              <w:t>c mandataires traitant des données personnelles sur mandat de l'autorité (art. 16 de la loi du 19 février 1986 sur la protection des données [LCPD]</w:t>
            </w:r>
            <w:r>
              <w:rPr>
                <w:rStyle w:val="Funotenzeichen"/>
              </w:rPr>
              <w:footnoteReference w:id="3"/>
            </w:r>
            <w:r>
              <w:rPr>
                <w:rStyle w:val="Funotenzeichen"/>
              </w:rPr>
              <w:t>)</w:t>
            </w:r>
            <w:r w:rsidR="00B44408">
              <w:t>)</w:t>
            </w:r>
            <w:r>
              <w:t>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Les entités, fonctions et systèmes habilités sont détaillés pour chaque fichier centralisé de données personnelles dans les annexes suivantes: 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 w:rsidP="004874CE">
            <w:pPr>
              <w:pStyle w:val="TableContents"/>
              <w:ind w:left="179" w:right="3" w:hanging="189"/>
            </w:pPr>
            <w:r>
              <w:t>a pour la plate-forme GERES: annexe 1.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3</w:t>
            </w:r>
            <w:r>
              <w:t> Les comptes d'utilisateur des entités, fonctions et systèmes habilités sont créés à partir des annexes.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Pr="004874CE" w:rsidRDefault="004874CE" w:rsidP="004874CE">
            <w:pPr>
              <w:pStyle w:val="TableContents"/>
              <w:rPr>
                <w:b/>
              </w:rPr>
            </w:pPr>
            <w:r w:rsidRPr="004874CE">
              <w:rPr>
                <w:b/>
                <w:bCs/>
              </w:rPr>
              <w:t xml:space="preserve">Art. 3 </w:t>
            </w:r>
            <w:r w:rsidRPr="004874CE">
              <w:rPr>
                <w:b/>
              </w:rPr>
              <w:t>Prise de position de l’autorité de surveillance de la protection des données de la commune/paroisse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L’autorité de surveillance de la protection des données de la commune/paroisse a pris position sur le présent acte législatif et sur chaque modification, avec mention correspondante dans les annexes.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Pr="004874CE" w:rsidRDefault="004874CE" w:rsidP="004874CE">
            <w:pPr>
              <w:pStyle w:val="TableContents"/>
              <w:rPr>
                <w:b/>
              </w:rPr>
            </w:pPr>
            <w:r w:rsidRPr="004874CE">
              <w:rPr>
                <w:b/>
                <w:bCs/>
              </w:rPr>
              <w:t xml:space="preserve">Art. 4 </w:t>
            </w:r>
            <w:r w:rsidRPr="004874CE">
              <w:rPr>
                <w:b/>
              </w:rPr>
              <w:t>Entrée en vigueur</w:t>
            </w:r>
          </w:p>
        </w:tc>
      </w:tr>
      <w:tr w:rsidR="004874CE" w:rsidTr="004874CE">
        <w:trPr>
          <w:cantSplit/>
        </w:trPr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La présente ordonnance entre en vigueur le XX.XX.XX.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rPr>
                <w:b/>
                <w:bCs/>
              </w:rPr>
              <w:t>Annexe</w:t>
            </w:r>
            <w:r w:rsidR="00934D33">
              <w:rPr>
                <w:b/>
                <w:bCs/>
              </w:rPr>
              <w:t>s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934D33" w:rsidP="00934D33">
            <w:pPr>
              <w:pStyle w:val="TableContents"/>
            </w:pPr>
            <w:r>
              <w:t xml:space="preserve">1 </w:t>
            </w:r>
            <w:r w:rsidR="004874CE">
              <w:t>Réglementation des droits d’accès à la plate-forme GERES de la commune municipale/commune bourgeoise/paroisse de XX 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t>Lieu, date</w:t>
            </w:r>
          </w:p>
        </w:tc>
      </w:tr>
      <w:tr w:rsidR="004874CE" w:rsidTr="004874CE">
        <w:tc>
          <w:tcPr>
            <w:tcW w:w="9781" w:type="dxa"/>
            <w:shd w:val="clear" w:color="auto" w:fill="auto"/>
          </w:tcPr>
          <w:p w:rsidR="004874CE" w:rsidRDefault="004874CE">
            <w:pPr>
              <w:pStyle w:val="TableContents"/>
            </w:pPr>
            <w:r>
              <w:t>Le conseil municipal/bourgeois/ de paroisse de XX:</w:t>
            </w:r>
          </w:p>
        </w:tc>
      </w:tr>
    </w:tbl>
    <w:p w:rsidR="00981B48" w:rsidRDefault="00981B48">
      <w:pPr>
        <w:sectPr w:rsidR="00981B48" w:rsidSect="00042304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568" w:right="850" w:bottom="567" w:left="1133" w:header="0" w:footer="454" w:gutter="0"/>
          <w:cols w:space="720"/>
          <w:titlePg/>
          <w:docGrid w:linePitch="272" w:charSpace="9215"/>
        </w:sectPr>
      </w:pPr>
    </w:p>
    <w:p w:rsidR="00F34342" w:rsidRPr="00F34342" w:rsidRDefault="00F34342" w:rsidP="00F34342">
      <w:pPr>
        <w:keepNext/>
        <w:tabs>
          <w:tab w:val="clear" w:pos="14854"/>
          <w:tab w:val="left" w:pos="9391"/>
          <w:tab w:val="right" w:pos="9637"/>
        </w:tabs>
        <w:suppressAutoHyphens/>
        <w:spacing w:after="113" w:line="244" w:lineRule="exact"/>
        <w:ind w:left="-851"/>
        <w:contextualSpacing/>
        <w:rPr>
          <w:b/>
        </w:rPr>
      </w:pPr>
      <w:r w:rsidRPr="00F34342">
        <w:rPr>
          <w:b/>
        </w:rPr>
        <w:lastRenderedPageBreak/>
        <w:t xml:space="preserve">Annexe 1 à l’article 2, alinéa 2 O FDP XX  </w:t>
      </w:r>
      <w:r w:rsidRPr="00F34342">
        <w:rPr>
          <w:b/>
        </w:rPr>
        <w:tab/>
      </w:r>
      <w:r w:rsidRPr="00F34342">
        <w:rPr>
          <w:b/>
        </w:rPr>
        <w:tab/>
      </w:r>
    </w:p>
    <w:p w:rsidR="00F34342" w:rsidRPr="00F34342" w:rsidRDefault="00F34342" w:rsidP="00F34342">
      <w:pPr>
        <w:pBdr>
          <w:bottom w:val="single" w:sz="4" w:space="5" w:color="000000"/>
        </w:pBdr>
        <w:tabs>
          <w:tab w:val="clear" w:pos="14854"/>
        </w:tabs>
        <w:spacing w:after="136"/>
        <w:ind w:left="-851" w:right="-286"/>
        <w:contextualSpacing/>
        <w:rPr>
          <w:position w:val="2"/>
        </w:rPr>
      </w:pPr>
      <w:r w:rsidRPr="00F34342">
        <w:rPr>
          <w:position w:val="2"/>
        </w:rPr>
        <w:t>(</w:t>
      </w:r>
      <w:r w:rsidR="00454FE0" w:rsidRPr="00F34342">
        <w:rPr>
          <w:position w:val="2"/>
        </w:rPr>
        <w:t>État</w:t>
      </w:r>
      <w:r w:rsidRPr="00F34342">
        <w:rPr>
          <w:position w:val="2"/>
        </w:rPr>
        <w:t xml:space="preserve"> au </w:t>
      </w:r>
      <w:r>
        <w:rPr>
          <w:position w:val="2"/>
        </w:rPr>
        <w:t>XX.</w:t>
      </w:r>
      <w:proofErr w:type="gramStart"/>
      <w:r>
        <w:rPr>
          <w:position w:val="2"/>
        </w:rPr>
        <w:t>XX.XXXX</w:t>
      </w:r>
      <w:proofErr w:type="gramEnd"/>
      <w:r w:rsidRPr="00F34342">
        <w:rPr>
          <w:position w:val="2"/>
        </w:rPr>
        <w:t>)</w:t>
      </w:r>
    </w:p>
    <w:p w:rsidR="00454FE0" w:rsidRDefault="00454FE0" w:rsidP="00F34342">
      <w:pPr>
        <w:tabs>
          <w:tab w:val="clear" w:pos="14854"/>
        </w:tabs>
        <w:ind w:left="-851"/>
        <w:contextualSpacing/>
        <w:rPr>
          <w:rFonts w:cs="Arial"/>
          <w:b/>
          <w:bCs/>
          <w:lang w:eastAsia="fr-CH"/>
        </w:rPr>
      </w:pPr>
    </w:p>
    <w:p w:rsidR="00F34342" w:rsidRPr="00F34342" w:rsidRDefault="00F34342" w:rsidP="00F34342">
      <w:pPr>
        <w:tabs>
          <w:tab w:val="clear" w:pos="14854"/>
        </w:tabs>
        <w:ind w:left="-851"/>
        <w:contextualSpacing/>
        <w:rPr>
          <w:b/>
        </w:rPr>
      </w:pPr>
      <w:r w:rsidRPr="00F34342">
        <w:rPr>
          <w:rFonts w:cs="Arial"/>
          <w:b/>
          <w:bCs/>
          <w:lang w:eastAsia="fr-CH"/>
        </w:rPr>
        <w:t xml:space="preserve">Réglementation des droits d’accès </w:t>
      </w:r>
      <w:r w:rsidRPr="00F34342">
        <w:rPr>
          <w:b/>
        </w:rPr>
        <w:t>à la plate-forme GERES</w:t>
      </w:r>
      <w:r w:rsidRPr="00F34342">
        <w:rPr>
          <w:rFonts w:cs="Arial"/>
          <w:b/>
          <w:bCs/>
          <w:lang w:eastAsia="fr-CH"/>
        </w:rPr>
        <w:t xml:space="preserve"> de la commune municipale/ commune bourgeoise</w:t>
      </w:r>
      <w:r w:rsidRPr="00F34342">
        <w:rPr>
          <w:b/>
        </w:rPr>
        <w:t xml:space="preserve">/ paroisse de XX </w:t>
      </w:r>
      <w:r w:rsidRPr="00F34342">
        <w:rPr>
          <w:b/>
        </w:rPr>
        <w:br/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415"/>
        <w:gridCol w:w="411"/>
        <w:gridCol w:w="411"/>
        <w:gridCol w:w="454"/>
        <w:gridCol w:w="411"/>
        <w:gridCol w:w="411"/>
        <w:gridCol w:w="411"/>
        <w:gridCol w:w="411"/>
        <w:gridCol w:w="411"/>
        <w:gridCol w:w="411"/>
        <w:gridCol w:w="369"/>
      </w:tblGrid>
      <w:tr w:rsidR="00F34342" w:rsidRPr="00F34342" w:rsidTr="00F77BBB">
        <w:trPr>
          <w:trHeight w:val="300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F34342">
              <w:rPr>
                <w:rFonts w:cs="Arial"/>
                <w:b/>
                <w:color w:val="000000"/>
                <w:sz w:val="18"/>
                <w:szCs w:val="18"/>
              </w:rPr>
              <w:t xml:space="preserve">Profils et fonctionnalités GERES conformément aux annexes 1 et 2 O GERES 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Profil de base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 : numéro AVS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2 : lieu d'origine / nationalité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3 : état civil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4 : mouvement de population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5 : droit des étrangers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6 : numéro SYMIC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7 : mesures de protection de l'adulte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8 : mesures de protection de l'enfant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9 : lien parents / enfants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10 : confession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11: ménage</w:t>
            </w:r>
          </w:p>
        </w:tc>
        <w:tc>
          <w:tcPr>
            <w:tcW w:w="41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12 : saisie des documents d'identité et autres documents officiels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Droit de modification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Historisation</w:t>
            </w:r>
          </w:p>
        </w:tc>
        <w:tc>
          <w:tcPr>
            <w:tcW w:w="454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Etendue territoriale des données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Age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Sexe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Confession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Nationalité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Statut des personnes (active, partie, décédée)</w:t>
            </w:r>
          </w:p>
        </w:tc>
        <w:tc>
          <w:tcPr>
            <w:tcW w:w="411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Relation d'annonce (établissement, séjour, autre domicile)</w:t>
            </w:r>
          </w:p>
        </w:tc>
        <w:tc>
          <w:tcPr>
            <w:tcW w:w="369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Art. 14 LCPD, accès aux données des personnes bloquées</w:t>
            </w:r>
          </w:p>
        </w:tc>
      </w:tr>
      <w:tr w:rsidR="00F34342" w:rsidRPr="00F34342" w:rsidTr="00F77BBB">
        <w:trPr>
          <w:trHeight w:val="300"/>
        </w:trPr>
        <w:tc>
          <w:tcPr>
            <w:tcW w:w="10916" w:type="dxa"/>
            <w:gridSpan w:val="24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  <w:u w:val="single"/>
              </w:rPr>
              <w:t>1 Office / Section / Domaine XX</w:t>
            </w:r>
          </w:p>
        </w:tc>
      </w:tr>
      <w:tr w:rsidR="00F34342" w:rsidRPr="00F34342" w:rsidTr="00F77BBB">
        <w:trPr>
          <w:trHeight w:val="300"/>
        </w:trPr>
        <w:tc>
          <w:tcPr>
            <w:tcW w:w="10916" w:type="dxa"/>
            <w:gridSpan w:val="24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1.1 Personnel - </w:t>
            </w:r>
            <w:r w:rsidRPr="00F34342">
              <w:rPr>
                <w:rFonts w:cs="Arial"/>
                <w:bCs/>
                <w:color w:val="000000"/>
                <w:sz w:val="12"/>
                <w:szCs w:val="12"/>
              </w:rPr>
              <w:t>droit à demander : direction et suppléance de direction XX</w:t>
            </w:r>
          </w:p>
        </w:tc>
      </w:tr>
      <w:tr w:rsidR="00F34342" w:rsidRPr="00F34342" w:rsidTr="00F77BBB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1.1.1 Domaine / Fonction.</w:t>
            </w:r>
          </w:p>
          <w:p w:rsidR="00F34342" w:rsidRPr="00F34342" w:rsidRDefault="00F34342" w:rsidP="00F34342">
            <w:pPr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But: ……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1.1.2 Domaine / Fonction</w:t>
            </w:r>
          </w:p>
          <w:p w:rsidR="00F34342" w:rsidRPr="00F34342" w:rsidRDefault="00F34342" w:rsidP="00F34342">
            <w:pPr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But: ……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</w:tbl>
    <w:p w:rsidR="00F34342" w:rsidRPr="00F34342" w:rsidRDefault="00F34342" w:rsidP="00F34342">
      <w:pPr>
        <w:tabs>
          <w:tab w:val="clear" w:pos="14854"/>
        </w:tabs>
        <w:spacing w:before="113" w:after="85"/>
        <w:contextualSpacing/>
        <w:jc w:val="both"/>
      </w:pPr>
    </w:p>
    <w:p w:rsidR="00F34342" w:rsidRPr="00F34342" w:rsidRDefault="00F34342" w:rsidP="00F34342">
      <w:pPr>
        <w:tabs>
          <w:tab w:val="clear" w:pos="14854"/>
        </w:tabs>
        <w:spacing w:before="113" w:after="85"/>
        <w:contextualSpacing/>
        <w:jc w:val="both"/>
      </w:pPr>
    </w:p>
    <w:p w:rsidR="00F34342" w:rsidRPr="00F34342" w:rsidRDefault="00F34342" w:rsidP="00F34342">
      <w:pPr>
        <w:tabs>
          <w:tab w:val="clear" w:pos="14854"/>
          <w:tab w:val="left" w:pos="2797"/>
        </w:tabs>
        <w:spacing w:before="113" w:after="85"/>
        <w:contextualSpacing/>
        <w:jc w:val="both"/>
      </w:pPr>
      <w:r w:rsidRPr="00F34342">
        <w:tab/>
      </w:r>
    </w:p>
    <w:p w:rsidR="00F34342" w:rsidRPr="00F34342" w:rsidRDefault="00F34342" w:rsidP="00F34342">
      <w:pPr>
        <w:tabs>
          <w:tab w:val="clear" w:pos="14854"/>
        </w:tabs>
        <w:spacing w:before="113" w:after="85"/>
        <w:contextualSpacing/>
        <w:jc w:val="both"/>
      </w:pPr>
      <w:r w:rsidRPr="00F34342">
        <w:br w:type="page"/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63"/>
        <w:gridCol w:w="425"/>
        <w:gridCol w:w="269"/>
        <w:gridCol w:w="1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34342" w:rsidRPr="00F34342" w:rsidTr="00F77BBB">
        <w:trPr>
          <w:trHeight w:val="300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F34342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Profils et fonctionnalités GERES conformément aux annexes 1 et 2 O GERES 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Profil de base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 : numéro AVS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2 : lieu d’origine / nationalité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3 : état civil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4 : mouvement de population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5 : droit des étrangers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6 : numéro SYMIC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7 : mesures de protection de l'adulte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8 : mesures de protection de l'enfant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9 : lien parents / enfants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10 : confession</w:t>
            </w:r>
          </w:p>
        </w:tc>
        <w:tc>
          <w:tcPr>
            <w:tcW w:w="26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11: ménage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12 : saisie des documents d'identité et autres documents officiels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Droit de modification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Historisation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Etendue territoriale des données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Sexe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Confession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Nationalité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Statut des personnes (active, partie, décédée)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Relation d'annonce (établissement; séjour, autre domicile)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Art. 14 LCPD, accès aux données des personnes bloquées</w:t>
            </w:r>
          </w:p>
        </w:tc>
      </w:tr>
      <w:tr w:rsidR="00F34342" w:rsidRPr="00F34342" w:rsidTr="00F77BBB">
        <w:trPr>
          <w:trHeight w:val="300"/>
        </w:trPr>
        <w:tc>
          <w:tcPr>
            <w:tcW w:w="10916" w:type="dxa"/>
            <w:gridSpan w:val="25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1.2 Systèmes - </w:t>
            </w:r>
            <w:r w:rsidRPr="00F34342">
              <w:rPr>
                <w:rFonts w:cs="Arial"/>
                <w:bCs/>
                <w:color w:val="000000"/>
                <w:sz w:val="12"/>
                <w:szCs w:val="12"/>
              </w:rPr>
              <w:t xml:space="preserve">droit à demander : direction et suppléance de direction XX </w:t>
            </w:r>
            <w:r w:rsidRPr="00F34342">
              <w:rPr>
                <w:rFonts w:cs="Arial"/>
                <w:bCs/>
                <w:i/>
                <w:color w:val="000000"/>
                <w:sz w:val="12"/>
                <w:szCs w:val="12"/>
              </w:rPr>
              <w:t>(exemple de liste)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1.2.1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iCampus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Développement, maintenance, exploitation et support : Campus Software AG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 : gestion des élèves par la direction de l’école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0-17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1.2.2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KiKartei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Développement, maintenance, exploitation et support : KW Software AG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 : gestion des données des membres de la paroisse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1.2.3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kOOL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 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Lauper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Computing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But : gestion des données des membres de la </w:t>
            </w:r>
            <w:r w:rsidR="00934D33" w:rsidRPr="00F34342">
              <w:rPr>
                <w:rFonts w:cs="Arial"/>
                <w:color w:val="000000"/>
                <w:sz w:val="12"/>
                <w:szCs w:val="12"/>
              </w:rPr>
              <w:t>paroisse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1.2.4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Infoma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eChurch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 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Axians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Inforama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Schweiz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But : gestion des données des membres de la </w:t>
            </w:r>
            <w:r w:rsidR="00934D33" w:rsidRPr="00F34342">
              <w:rPr>
                <w:rFonts w:cs="Arial"/>
                <w:color w:val="000000"/>
                <w:sz w:val="12"/>
                <w:szCs w:val="12"/>
              </w:rPr>
              <w:t>paroisse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</w:tbl>
    <w:p w:rsidR="00F34342" w:rsidRPr="00F34342" w:rsidRDefault="00F34342" w:rsidP="00F34342">
      <w:pPr>
        <w:tabs>
          <w:tab w:val="clear" w:pos="14854"/>
        </w:tabs>
        <w:spacing w:before="113" w:after="85"/>
        <w:contextualSpacing/>
        <w:jc w:val="both"/>
        <w:rPr>
          <w:lang w:val="de-CH"/>
        </w:rPr>
      </w:pPr>
      <w:r w:rsidRPr="00F34342">
        <w:rPr>
          <w:lang w:val="de-CH"/>
        </w:rPr>
        <w:br w:type="page"/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63"/>
        <w:gridCol w:w="425"/>
        <w:gridCol w:w="269"/>
        <w:gridCol w:w="1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34342" w:rsidRPr="00F34342" w:rsidTr="00F77BBB">
        <w:trPr>
          <w:trHeight w:val="300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r w:rsidRPr="00F34342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Profils et fonctionnalités GERES conformément aux annexes 1 et 2 O GERES 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Profil de base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 : numéro AVS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2 : lieu d’origine / nationalité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3 : état civil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4 : mouvement de population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5 : droit des étrangers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6 : numéro SYMIC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7 : mesures de protection de l'adulte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8 : mesures de protection de l'enfant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9 : lien parents / enfants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10 : confession</w:t>
            </w:r>
          </w:p>
        </w:tc>
        <w:tc>
          <w:tcPr>
            <w:tcW w:w="26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11: ménage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12 : saisie des documents d'identité et autres documents officiels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Droit de modification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Historisation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Etendue territoriale des données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Sexe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Confession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Nationalité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Statut des personnes (active, partie, décédée)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Relation d'annonce (établissement; séjour, autre domicile)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Art. 14 LCPD, accès aux données des personnes bloquées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1.2.5 Church-Web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 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Alixon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GmbH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 : gestion des données des membres de la paroisse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ind w:left="220" w:hanging="210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1.2.6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ProPfarramt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 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isys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GmbH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Informatiksysteme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 : gestion des données des membres de la paroisse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ind w:left="220" w:hanging="210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1.2.7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GemoWin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 NG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 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Dialog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Verwaltungs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>-Data AG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 : gestion des données des membres de la paroisse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ind w:left="220" w:hanging="210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1.2.8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innosolvchurch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 : Talus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Informatik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AG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But : gestion des données des membres de la paroisse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Tout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 xml:space="preserve">1.2.10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KLIBnet</w:t>
            </w:r>
            <w:proofErr w:type="spellEnd"/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Développement, maintenance, exploitation et support : </w:t>
            </w:r>
            <w:proofErr w:type="spellStart"/>
            <w:r w:rsidRPr="00F34342">
              <w:rPr>
                <w:rFonts w:cs="Arial"/>
                <w:color w:val="000000"/>
                <w:sz w:val="12"/>
                <w:szCs w:val="12"/>
              </w:rPr>
              <w:t>Diartis</w:t>
            </w:r>
            <w:proofErr w:type="spellEnd"/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 SA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But : gestion des cas de l’aide sociale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Tout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  <w:tr w:rsidR="00F34342" w:rsidRPr="00F34342" w:rsidTr="00F77BBB">
        <w:trPr>
          <w:trHeight w:val="300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1200"/>
              <w:rPr>
                <w:rFonts w:cs="Arial"/>
                <w:b/>
                <w:color w:val="000000"/>
                <w:sz w:val="18"/>
                <w:szCs w:val="18"/>
              </w:rPr>
            </w:pPr>
            <w:bookmarkStart w:id="0" w:name="_GoBack" w:colFirst="2" w:colLast="23"/>
            <w:r w:rsidRPr="00F34342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Profils et fonctionnalités GERES conformément aux annexes 1 et 2 O GERES 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Profil de base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 : numéro AVS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2 : lieu d’origine / nationalité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3 : état civil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4 : mouvement de population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5 : droit des étrangers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6 : numéro SYMIC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7 : mesures de protection de l'adulte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8 : mesures de protection de l'enfant</w:t>
            </w:r>
          </w:p>
        </w:tc>
        <w:tc>
          <w:tcPr>
            <w:tcW w:w="27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9 : lien parents / enfants</w:t>
            </w:r>
          </w:p>
        </w:tc>
        <w:tc>
          <w:tcPr>
            <w:tcW w:w="272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10 : confession</w:t>
            </w:r>
          </w:p>
        </w:tc>
        <w:tc>
          <w:tcPr>
            <w:tcW w:w="263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11: ménage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Profil standard 12 : saisie des documents d'identité et autres documents officiels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Droit de modification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Historisation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Etendue territoriale des données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Age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Sexe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Confession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Nationalité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Statut des personnes (active, partie, décédée)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6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Relation d'annonce (établissement; séjour, autre domicile)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F34342" w:rsidRPr="00F34342" w:rsidRDefault="00F34342" w:rsidP="00042304">
            <w:pPr>
              <w:keepLines w:val="0"/>
              <w:widowControl/>
              <w:tabs>
                <w:tab w:val="clear" w:pos="14854"/>
              </w:tabs>
              <w:spacing w:after="12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42304">
              <w:rPr>
                <w:rFonts w:cs="Arial"/>
                <w:b/>
                <w:bCs/>
                <w:color w:val="000000"/>
                <w:sz w:val="12"/>
                <w:szCs w:val="12"/>
              </w:rPr>
              <w:t>Art. 14 LCPD, accès aux données des personnes bloquées</w:t>
            </w:r>
          </w:p>
        </w:tc>
      </w:tr>
      <w:bookmarkEnd w:id="0"/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contextualSpacing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F34342">
              <w:rPr>
                <w:rFonts w:cs="Arial"/>
                <w:color w:val="000000"/>
                <w:sz w:val="12"/>
                <w:szCs w:val="12"/>
                <w:u w:val="single"/>
              </w:rPr>
              <w:t>1.2.11 Nom de système ZZ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Développement, maintenance, exploitation et support : ZZ SA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But : ……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34342" w:rsidRPr="00F34342" w:rsidTr="00F77BBB">
        <w:trPr>
          <w:trHeight w:val="3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>1.3 Mandataires</w:t>
            </w:r>
            <w:r w:rsidRPr="00F34342">
              <w:rPr>
                <w:rFonts w:cs="Arial"/>
                <w:bCs/>
                <w:color w:val="000000"/>
                <w:sz w:val="12"/>
                <w:szCs w:val="12"/>
              </w:rPr>
              <w:t xml:space="preserve"> </w:t>
            </w:r>
            <w:r w:rsidRPr="00F3434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– </w:t>
            </w:r>
            <w:r w:rsidRPr="00F34342">
              <w:rPr>
                <w:rFonts w:cs="Arial"/>
                <w:bCs/>
                <w:color w:val="000000"/>
                <w:sz w:val="12"/>
                <w:szCs w:val="12"/>
              </w:rPr>
              <w:t>droit à demander : direction et suppléance de direction XX (mandant)</w:t>
            </w:r>
          </w:p>
        </w:tc>
      </w:tr>
      <w:tr w:rsidR="00F34342" w:rsidRPr="00F34342" w:rsidTr="00F77BBB">
        <w:trPr>
          <w:trHeight w:val="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tabs>
                <w:tab w:val="clear" w:pos="14854"/>
              </w:tabs>
              <w:contextualSpacing/>
              <w:rPr>
                <w:sz w:val="12"/>
                <w:szCs w:val="12"/>
                <w:u w:val="single"/>
                <w:lang w:eastAsia="en-US" w:bidi="en-US"/>
              </w:rPr>
            </w:pPr>
            <w:r w:rsidRPr="00F34342">
              <w:rPr>
                <w:sz w:val="12"/>
                <w:szCs w:val="12"/>
                <w:u w:val="single"/>
                <w:lang w:eastAsia="en-US" w:bidi="en-US"/>
              </w:rPr>
              <w:t>1.3.1 XX SA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 xml:space="preserve">Mandat : développement, maintenance, exploitation et support du système XX </w:t>
            </w:r>
          </w:p>
          <w:p w:rsidR="00F34342" w:rsidRPr="00F34342" w:rsidRDefault="00F34342" w:rsidP="00454FE0">
            <w:pPr>
              <w:numPr>
                <w:ilvl w:val="0"/>
                <w:numId w:val="1"/>
              </w:numPr>
              <w:tabs>
                <w:tab w:val="clear" w:pos="14854"/>
              </w:tabs>
              <w:ind w:left="215" w:hanging="215"/>
              <w:contextualSpacing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Personnes habilitées : développeurs du système XX et personnel du centre de calcul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tabs>
                <w:tab w:val="clear" w:pos="14854"/>
              </w:tabs>
              <w:spacing w:before="113" w:after="85"/>
              <w:contextualSpacing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342" w:rsidRPr="00F34342" w:rsidRDefault="00F34342" w:rsidP="00F34342">
            <w:pPr>
              <w:keepLines w:val="0"/>
              <w:widowControl/>
              <w:tabs>
                <w:tab w:val="clear" w:pos="14854"/>
              </w:tabs>
              <w:spacing w:before="60" w:after="60"/>
              <w:contextualSpacing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34342">
              <w:rPr>
                <w:rFonts w:cs="Arial"/>
                <w:color w:val="000000"/>
                <w:sz w:val="12"/>
                <w:szCs w:val="12"/>
              </w:rPr>
              <w:t>--</w:t>
            </w:r>
          </w:p>
        </w:tc>
      </w:tr>
    </w:tbl>
    <w:p w:rsidR="00F34342" w:rsidRPr="00F34342" w:rsidRDefault="00F34342" w:rsidP="00F34342">
      <w:pPr>
        <w:tabs>
          <w:tab w:val="clear" w:pos="14854"/>
        </w:tabs>
        <w:spacing w:before="113" w:after="85"/>
        <w:contextualSpacing/>
        <w:jc w:val="both"/>
      </w:pPr>
    </w:p>
    <w:p w:rsidR="00F34342" w:rsidRPr="00F34342" w:rsidRDefault="00F34342" w:rsidP="00F34342">
      <w:pPr>
        <w:tabs>
          <w:tab w:val="clear" w:pos="14854"/>
        </w:tabs>
        <w:spacing w:after="120"/>
        <w:ind w:left="-851"/>
        <w:contextualSpacing/>
        <w:jc w:val="both"/>
        <w:rPr>
          <w:sz w:val="16"/>
          <w:szCs w:val="16"/>
          <w:lang w:eastAsia="en-US" w:bidi="en-US"/>
        </w:rPr>
      </w:pPr>
    </w:p>
    <w:p w:rsidR="00F34342" w:rsidRPr="00F34342" w:rsidRDefault="00F34342" w:rsidP="00F34342">
      <w:pPr>
        <w:tabs>
          <w:tab w:val="clear" w:pos="14854"/>
        </w:tabs>
        <w:spacing w:after="120"/>
        <w:ind w:left="-851"/>
        <w:contextualSpacing/>
        <w:jc w:val="both"/>
        <w:rPr>
          <w:sz w:val="16"/>
          <w:szCs w:val="16"/>
          <w:lang w:eastAsia="en-US" w:bidi="en-US"/>
        </w:rPr>
      </w:pPr>
    </w:p>
    <w:p w:rsidR="00F34342" w:rsidRPr="00F34342" w:rsidRDefault="00F34342" w:rsidP="00F34342">
      <w:pPr>
        <w:tabs>
          <w:tab w:val="clear" w:pos="14854"/>
        </w:tabs>
        <w:spacing w:after="120"/>
        <w:ind w:left="-851"/>
        <w:contextualSpacing/>
        <w:jc w:val="both"/>
        <w:rPr>
          <w:sz w:val="16"/>
          <w:szCs w:val="16"/>
          <w:lang w:eastAsia="en-US" w:bidi="en-US"/>
        </w:rPr>
      </w:pPr>
      <w:r w:rsidRPr="00F34342">
        <w:rPr>
          <w:sz w:val="16"/>
          <w:szCs w:val="16"/>
          <w:lang w:eastAsia="en-US" w:bidi="en-US"/>
        </w:rPr>
        <w:t>Prises de position de l’autorité de surveillance de la protection des données de la commune / paroisse :</w:t>
      </w:r>
    </w:p>
    <w:p w:rsidR="00F34342" w:rsidRPr="00F34342" w:rsidRDefault="00F34342" w:rsidP="00F34342">
      <w:pPr>
        <w:tabs>
          <w:tab w:val="clear" w:pos="14854"/>
        </w:tabs>
        <w:spacing w:after="120"/>
        <w:ind w:left="-851"/>
        <w:contextualSpacing/>
        <w:jc w:val="both"/>
        <w:rPr>
          <w:sz w:val="14"/>
          <w:szCs w:val="14"/>
          <w:lang w:eastAsia="en-US" w:bidi="en-US"/>
        </w:rPr>
      </w:pPr>
      <w:r w:rsidRPr="00F34342">
        <w:rPr>
          <w:sz w:val="14"/>
          <w:szCs w:val="14"/>
          <w:lang w:eastAsia="en-US" w:bidi="en-US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5"/>
      </w:tblGrid>
      <w:tr w:rsidR="00F34342" w:rsidRPr="00F34342" w:rsidTr="00F77BBB">
        <w:tc>
          <w:tcPr>
            <w:tcW w:w="1560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b/>
                <w:sz w:val="14"/>
                <w:szCs w:val="14"/>
                <w:lang w:eastAsia="en-US" w:bidi="en-US"/>
              </w:rPr>
            </w:pPr>
            <w:r w:rsidRPr="00F34342">
              <w:rPr>
                <w:b/>
                <w:sz w:val="14"/>
                <w:szCs w:val="14"/>
                <w:lang w:eastAsia="en-US" w:bidi="en-US"/>
              </w:rPr>
              <w:t>Date de version</w:t>
            </w:r>
          </w:p>
        </w:tc>
        <w:tc>
          <w:tcPr>
            <w:tcW w:w="1985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b/>
                <w:sz w:val="14"/>
                <w:szCs w:val="14"/>
                <w:lang w:eastAsia="en-US" w:bidi="en-US"/>
              </w:rPr>
            </w:pPr>
            <w:r w:rsidRPr="00F34342">
              <w:rPr>
                <w:b/>
                <w:sz w:val="14"/>
                <w:szCs w:val="14"/>
                <w:lang w:eastAsia="en-US" w:bidi="en-US"/>
              </w:rPr>
              <w:t>Date de prise de position</w:t>
            </w:r>
          </w:p>
        </w:tc>
      </w:tr>
      <w:tr w:rsidR="00F34342" w:rsidRPr="00F34342" w:rsidTr="00F77BBB">
        <w:tc>
          <w:tcPr>
            <w:tcW w:w="1560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F34342">
              <w:rPr>
                <w:sz w:val="14"/>
                <w:szCs w:val="14"/>
                <w:lang w:eastAsia="en-US" w:bidi="en-US"/>
              </w:rPr>
              <w:t>XX.XX.XX</w:t>
            </w:r>
          </w:p>
        </w:tc>
        <w:tc>
          <w:tcPr>
            <w:tcW w:w="1985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F34342">
              <w:rPr>
                <w:sz w:val="14"/>
                <w:szCs w:val="14"/>
                <w:lang w:eastAsia="en-US" w:bidi="en-US"/>
              </w:rPr>
              <w:t>XX.XX.XX</w:t>
            </w:r>
          </w:p>
        </w:tc>
      </w:tr>
      <w:tr w:rsidR="00F34342" w:rsidRPr="00F34342" w:rsidTr="00F77BBB">
        <w:tc>
          <w:tcPr>
            <w:tcW w:w="1560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F34342">
              <w:rPr>
                <w:sz w:val="14"/>
                <w:szCs w:val="14"/>
                <w:lang w:eastAsia="en-US" w:bidi="en-US"/>
              </w:rPr>
              <w:t>XX.XX.XX</w:t>
            </w:r>
          </w:p>
        </w:tc>
        <w:tc>
          <w:tcPr>
            <w:tcW w:w="1985" w:type="dxa"/>
            <w:shd w:val="clear" w:color="auto" w:fill="auto"/>
          </w:tcPr>
          <w:p w:rsidR="00F34342" w:rsidRPr="00F34342" w:rsidRDefault="00F34342" w:rsidP="00F34342">
            <w:pPr>
              <w:tabs>
                <w:tab w:val="clear" w:pos="14854"/>
              </w:tabs>
              <w:spacing w:before="60" w:after="60"/>
              <w:contextualSpacing/>
              <w:jc w:val="both"/>
              <w:rPr>
                <w:sz w:val="14"/>
                <w:szCs w:val="14"/>
                <w:lang w:eastAsia="en-US" w:bidi="en-US"/>
              </w:rPr>
            </w:pPr>
            <w:r w:rsidRPr="00F34342">
              <w:rPr>
                <w:sz w:val="14"/>
                <w:szCs w:val="14"/>
                <w:lang w:eastAsia="en-US" w:bidi="en-US"/>
              </w:rPr>
              <w:t>XX.XX.XX</w:t>
            </w:r>
          </w:p>
        </w:tc>
      </w:tr>
    </w:tbl>
    <w:p w:rsidR="00F77BBB" w:rsidRDefault="00F77BBB"/>
    <w:sectPr w:rsidR="00F77BBB" w:rsidSect="00F77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8391" w:orient="landscape"/>
      <w:pgMar w:top="284" w:right="566" w:bottom="454" w:left="1418" w:header="567" w:footer="624" w:gutter="0"/>
      <w:cols w:space="720"/>
      <w:docGrid w:linePitch="272" w:charSpace="9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BB" w:rsidRDefault="00F77BBB">
      <w:r>
        <w:separator/>
      </w:r>
    </w:p>
  </w:endnote>
  <w:endnote w:type="continuationSeparator" w:id="0">
    <w:p w:rsidR="00F77BBB" w:rsidRDefault="00F7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>
    <w:pPr>
      <w:pStyle w:val="Fuzeile"/>
      <w:tabs>
        <w:tab w:val="right" w:pos="7002"/>
      </w:tabs>
    </w:pP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>
    <w:pPr>
      <w:pStyle w:val="Fuzeile"/>
      <w:tabs>
        <w:tab w:val="right" w:pos="65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>
    <w:pPr>
      <w:pStyle w:val="Fuzeile"/>
      <w:tabs>
        <w:tab w:val="right" w:pos="65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BB" w:rsidRDefault="00F77BBB">
      <w:r>
        <w:separator/>
      </w:r>
    </w:p>
  </w:footnote>
  <w:footnote w:type="continuationSeparator" w:id="0">
    <w:p w:rsidR="00F77BBB" w:rsidRDefault="00F77BBB">
      <w:r>
        <w:continuationSeparator/>
      </w:r>
    </w:p>
  </w:footnote>
  <w:footnote w:id="1">
    <w:p w:rsidR="004874CE" w:rsidRDefault="004874CE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RSB </w:t>
      </w:r>
      <w:hyperlink r:id="rId1" w:history="1">
        <w:r>
          <w:rPr>
            <w:rStyle w:val="Hyperlink"/>
          </w:rPr>
          <w:t>152.05</w:t>
        </w:r>
      </w:hyperlink>
    </w:p>
  </w:footnote>
  <w:footnote w:id="2">
    <w:p w:rsidR="004874CE" w:rsidRDefault="004874CE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RSB </w:t>
      </w:r>
      <w:hyperlink r:id="rId2" w:history="1">
        <w:r>
          <w:rPr>
            <w:rStyle w:val="Hyperlink"/>
          </w:rPr>
          <w:t>152.051</w:t>
        </w:r>
      </w:hyperlink>
    </w:p>
  </w:footnote>
  <w:footnote w:id="3">
    <w:p w:rsidR="004874CE" w:rsidRDefault="004874CE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RSB </w:t>
      </w:r>
      <w:hyperlink r:id="rId3" w:history="1">
        <w:r>
          <w:rPr>
            <w:rStyle w:val="Hyperlink"/>
          </w:rPr>
          <w:t>152.04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>
    <w:pPr>
      <w:pStyle w:val="Kopfzeile"/>
      <w:spacing w:line="240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4230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  <w:r>
      <w:rPr>
        <w:sz w:val="22"/>
      </w:rPr>
      <w:t xml:space="preserve"> </w:t>
    </w:r>
  </w:p>
  <w:p w:rsidR="00F77BBB" w:rsidRDefault="00F77BBB">
    <w:pPr>
      <w:pStyle w:val="Kopfzeile"/>
      <w:spacing w:line="240" w:lineRule="exact"/>
      <w:jc w:val="center"/>
      <w:rPr>
        <w:sz w:val="22"/>
      </w:rPr>
    </w:pPr>
  </w:p>
  <w:p w:rsidR="00F77BBB" w:rsidRDefault="00F77BBB">
    <w:pPr>
      <w:pStyle w:val="Kopfzeile"/>
      <w:spacing w:line="240" w:lineRule="exact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>
    <w:pPr>
      <w:pStyle w:val="Kopfzeile"/>
      <w:spacing w:line="240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874CE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-</w:t>
    </w:r>
    <w:r>
      <w:rPr>
        <w:sz w:val="22"/>
      </w:rPr>
      <w:t xml:space="preserve"> </w:t>
    </w:r>
  </w:p>
  <w:p w:rsidR="00F77BBB" w:rsidRDefault="00F77BBB">
    <w:pPr>
      <w:pStyle w:val="Kopfzeile"/>
      <w:spacing w:line="240" w:lineRule="exact"/>
      <w:jc w:val="center"/>
      <w:rPr>
        <w:sz w:val="22"/>
      </w:rPr>
    </w:pPr>
  </w:p>
  <w:p w:rsidR="00F77BBB" w:rsidRDefault="00F77BBB">
    <w:pPr>
      <w:pStyle w:val="Kopfzeile"/>
      <w:spacing w:line="240" w:lineRule="exact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 w:rsidP="00042304">
    <w:pPr>
      <w:pStyle w:val="Kopfzeile"/>
      <w:spacing w:line="240" w:lineRule="exact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 w:rsidP="00F34342">
    <w:pPr>
      <w:pStyle w:val="Kopfzeile"/>
      <w:pBdr>
        <w:bottom w:val="single" w:sz="4" w:space="1" w:color="000000"/>
      </w:pBdr>
      <w:tabs>
        <w:tab w:val="right" w:pos="9921"/>
      </w:tabs>
      <w:spacing w:line="240" w:lineRule="exact"/>
      <w:ind w:left="-851" w:right="-286"/>
    </w:pPr>
    <w:r>
      <w:fldChar w:fldCharType="begin"/>
    </w:r>
    <w:r>
      <w:instrText xml:space="preserve"> PAGE </w:instrText>
    </w:r>
    <w:r>
      <w:fldChar w:fldCharType="separate"/>
    </w:r>
    <w:r w:rsidR="00042304">
      <w:rPr>
        <w:noProof/>
      </w:rPr>
      <w:t>4</w:t>
    </w:r>
    <w:r>
      <w:fldChar w:fldCharType="end"/>
    </w:r>
    <w:r>
      <w:t xml:space="preserve"> </w:t>
    </w:r>
    <w:r>
      <w:tab/>
      <w:t xml:space="preserve">A1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042304" w:rsidP="00F77BBB">
    <w:pPr>
      <w:pStyle w:val="Kopfzeile"/>
      <w:pBdr>
        <w:bottom w:val="single" w:sz="4" w:space="1" w:color="000000"/>
      </w:pBdr>
      <w:tabs>
        <w:tab w:val="right" w:pos="9921"/>
      </w:tabs>
      <w:spacing w:line="240" w:lineRule="exact"/>
      <w:ind w:left="-851" w:right="-28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OUILLON"/>
          <w10:wrap anchorx="margin" anchory="margin"/>
        </v:shape>
      </w:pict>
    </w:r>
    <w:r w:rsidR="00F77BBB">
      <w:fldChar w:fldCharType="begin"/>
    </w:r>
    <w:r w:rsidR="00F77BBB">
      <w:instrText xml:space="preserve"> PAGE </w:instrText>
    </w:r>
    <w:r w:rsidR="00F77BBB">
      <w:fldChar w:fldCharType="separate"/>
    </w:r>
    <w:r>
      <w:rPr>
        <w:noProof/>
      </w:rPr>
      <w:t>5</w:t>
    </w:r>
    <w:r w:rsidR="00F77BBB">
      <w:fldChar w:fldCharType="end"/>
    </w:r>
    <w:r w:rsidR="00F77BBB">
      <w:t xml:space="preserve"> </w:t>
    </w:r>
    <w:r w:rsidR="00F77BBB">
      <w:tab/>
      <w:t>A1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BB" w:rsidRDefault="00F77BBB" w:rsidP="00F77BBB">
    <w:pPr>
      <w:pStyle w:val="Kopfzeile"/>
      <w:pBdr>
        <w:bottom w:val="single" w:sz="4" w:space="1" w:color="000000"/>
      </w:pBdr>
      <w:tabs>
        <w:tab w:val="right" w:pos="7088"/>
      </w:tabs>
      <w:spacing w:line="240" w:lineRule="exac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ab/>
      <w:t>XXX.X-A1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3C13"/>
    <w:multiLevelType w:val="hybridMultilevel"/>
    <w:tmpl w:val="B09612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6AA"/>
    <w:multiLevelType w:val="hybridMultilevel"/>
    <w:tmpl w:val="D1648FBA"/>
    <w:lvl w:ilvl="0" w:tplc="9D44CBBE">
      <w:numFmt w:val="bullet"/>
      <w:lvlText w:val="-"/>
      <w:lvlJc w:val="left"/>
      <w:pPr>
        <w:ind w:left="6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CE"/>
    <w:rsid w:val="00042304"/>
    <w:rsid w:val="00454FE0"/>
    <w:rsid w:val="004874CE"/>
    <w:rsid w:val="005B0E9C"/>
    <w:rsid w:val="00934D33"/>
    <w:rsid w:val="00981B48"/>
    <w:rsid w:val="00A14885"/>
    <w:rsid w:val="00A843FB"/>
    <w:rsid w:val="00B44408"/>
    <w:rsid w:val="00F3434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14764EA0"/>
  <w15:chartTrackingRefBased/>
  <w15:docId w15:val="{CCE5E524-499C-4F22-B04B-6F994AAE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widowControl w:val="0"/>
      <w:tabs>
        <w:tab w:val="right" w:pos="14854"/>
      </w:tabs>
    </w:pPr>
    <w:rPr>
      <w:rFonts w:ascii="Arial" w:hAnsi="Arial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Arial" w:hAnsi="Arial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Autor">
    <w:name w:val="Autor"/>
    <w:basedOn w:val="Standard"/>
    <w:rPr>
      <w:i/>
      <w:iCs/>
    </w:rPr>
  </w:style>
  <w:style w:type="paragraph" w:customStyle="1" w:styleId="Aktion">
    <w:name w:val="Aktion"/>
    <w:basedOn w:val="Standard"/>
    <w:rPr>
      <w:i/>
      <w:iCs/>
    </w:rPr>
  </w:style>
  <w:style w:type="paragraph" w:customStyle="1" w:styleId="EmptySectionRemark">
    <w:name w:val="Empty_Section_Remark"/>
    <w:basedOn w:val="Standard"/>
    <w:rPr>
      <w:i/>
      <w:iCs/>
    </w:rPr>
  </w:style>
  <w:style w:type="paragraph" w:customStyle="1" w:styleId="StandardvorAufzhlung">
    <w:name w:val="Standard vor Aufzählung"/>
    <w:basedOn w:val="Standard"/>
  </w:style>
  <w:style w:type="paragraph" w:customStyle="1" w:styleId="StandardvorTabelle">
    <w:name w:val="Standard vor Tabelle"/>
    <w:basedOn w:val="Standard"/>
  </w:style>
  <w:style w:type="paragraph" w:styleId="Kopfzeile">
    <w:name w:val="header"/>
    <w:pPr>
      <w:widowControl w:val="0"/>
      <w:tabs>
        <w:tab w:val="right" w:pos="14854"/>
      </w:tabs>
      <w:suppressAutoHyphens/>
    </w:pPr>
    <w:rPr>
      <w:rFonts w:ascii="Arial" w:hAnsi="Arial"/>
      <w:sz w:val="18"/>
      <w:lang w:val="fr-CH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240" w:after="240"/>
    </w:pPr>
    <w:rPr>
      <w:b/>
      <w:sz w:val="24"/>
    </w:rPr>
  </w:style>
  <w:style w:type="paragraph" w:customStyle="1" w:styleId="Datum1">
    <w:name w:val="Datum1"/>
    <w:basedOn w:val="Standard"/>
    <w:next w:val="Autor"/>
    <w:pPr>
      <w:keepNext/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spacing w:after="240"/>
      <w:ind w:left="28" w:right="28"/>
    </w:pPr>
    <w:rPr>
      <w:position w:val="2"/>
    </w:rPr>
  </w:style>
  <w:style w:type="paragraph" w:customStyle="1" w:styleId="Grundlage">
    <w:name w:val="Grundlage"/>
    <w:basedOn w:val="Standard"/>
    <w:next w:val="Aktion"/>
    <w:pPr>
      <w:spacing w:before="240" w:after="40"/>
    </w:pPr>
  </w:style>
  <w:style w:type="paragraph" w:customStyle="1" w:styleId="Schluss">
    <w:name w:val="Schluss"/>
    <w:basedOn w:val="Standard"/>
    <w:pPr>
      <w:tabs>
        <w:tab w:val="clear" w:pos="14854"/>
        <w:tab w:val="left" w:pos="6124"/>
      </w:tabs>
      <w:spacing w:before="480" w:after="40"/>
      <w:ind w:left="3062" w:hanging="3062"/>
    </w:pPr>
  </w:style>
  <w:style w:type="paragraph" w:customStyle="1" w:styleId="Nebenzitat">
    <w:name w:val="Nebenzitat"/>
    <w:basedOn w:val="Standard"/>
  </w:style>
  <w:style w:type="paragraph" w:customStyle="1" w:styleId="Abschnittstitel">
    <w:name w:val="Abschnittstitel"/>
    <w:basedOn w:val="Standard"/>
    <w:pPr>
      <w:keepNext/>
      <w:suppressAutoHyphens/>
    </w:pPr>
    <w:rPr>
      <w:b/>
      <w:sz w:val="22"/>
    </w:rPr>
  </w:style>
  <w:style w:type="paragraph" w:customStyle="1" w:styleId="TitelStufe1">
    <w:name w:val="Titel Stufe 1"/>
    <w:basedOn w:val="Standard"/>
    <w:next w:val="Artikel"/>
    <w:pPr>
      <w:keepNext/>
      <w:suppressAutoHyphens/>
      <w:spacing w:before="360"/>
    </w:pPr>
    <w:rPr>
      <w:b/>
      <w:sz w:val="22"/>
    </w:rPr>
  </w:style>
  <w:style w:type="paragraph" w:customStyle="1" w:styleId="TitelStufe2">
    <w:name w:val="Titel Stufe 2"/>
    <w:basedOn w:val="TitelStufe1"/>
    <w:next w:val="Artikel"/>
    <w:rPr>
      <w:b w:val="0"/>
      <w:i/>
    </w:rPr>
  </w:style>
  <w:style w:type="paragraph" w:customStyle="1" w:styleId="TitelStufe3">
    <w:name w:val="Titel Stufe 3"/>
    <w:basedOn w:val="TitelStufe2"/>
    <w:next w:val="Artikel"/>
  </w:style>
  <w:style w:type="paragraph" w:customStyle="1" w:styleId="TitelStufe4">
    <w:name w:val="Titel Stufe 4"/>
    <w:basedOn w:val="TitelStufe2"/>
    <w:next w:val="Artikel"/>
  </w:style>
  <w:style w:type="paragraph" w:customStyle="1" w:styleId="TitelStufe5">
    <w:name w:val="Titel Stufe 5"/>
    <w:basedOn w:val="TitelStufe2"/>
    <w:next w:val="Artikel"/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140" w:line="288" w:lineRule="auto"/>
    </w:pPr>
  </w:style>
  <w:style w:type="paragraph" w:styleId="Kommentartext">
    <w:name w:val="annotation text"/>
    <w:basedOn w:val="Standard"/>
    <w:pPr>
      <w:keepNext/>
      <w:spacing w:line="144" w:lineRule="exac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14854"/>
        <w:tab w:val="left" w:pos="1360"/>
      </w:tabs>
      <w:spacing w:before="240" w:after="60"/>
      <w:ind w:left="680" w:hanging="680"/>
    </w:pPr>
  </w:style>
  <w:style w:type="paragraph" w:customStyle="1" w:styleId="Artikelaufgehoben">
    <w:name w:val="Artikel (aufgehoben)"/>
    <w:basedOn w:val="Artikel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1">
    <w:name w:val="Liste 1"/>
    <w:basedOn w:val="Standard"/>
    <w:pPr>
      <w:ind w:left="340" w:hanging="340"/>
    </w:pPr>
  </w:style>
  <w:style w:type="paragraph" w:customStyle="1" w:styleId="Liste1mitaufeinanderfolgendenAufhebungen">
    <w:name w:val="Liste 1 mit aufeinanderfolgenden Aufhebungen"/>
    <w:basedOn w:val="Liste1"/>
  </w:style>
  <w:style w:type="paragraph" w:customStyle="1" w:styleId="Liste1mitUnterelementen">
    <w:name w:val="Liste 1 mit Unterelementen"/>
    <w:basedOn w:val="Liste1"/>
  </w:style>
  <w:style w:type="paragraph" w:customStyle="1" w:styleId="Liste21">
    <w:name w:val="Liste 21"/>
    <w:basedOn w:val="Liste1"/>
    <w:pPr>
      <w:ind w:left="680"/>
    </w:pPr>
  </w:style>
  <w:style w:type="paragraph" w:customStyle="1" w:styleId="Liste2mitaufeinanderfolgendenAufhebungen">
    <w:name w:val="Liste 2 mit aufeinanderfolgenden Aufhebungen"/>
    <w:basedOn w:val="Liste21"/>
  </w:style>
  <w:style w:type="paragraph" w:customStyle="1" w:styleId="Liste31">
    <w:name w:val="Liste 31"/>
    <w:basedOn w:val="Liste21"/>
    <w:pPr>
      <w:ind w:left="1021"/>
    </w:pPr>
  </w:style>
  <w:style w:type="paragraph" w:styleId="Funotentext">
    <w:name w:val="footnote text"/>
    <w:basedOn w:val="Standard"/>
    <w:pPr>
      <w:spacing w:line="188" w:lineRule="exact"/>
      <w:ind w:left="210" w:hanging="2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lex.sites.be.ch/data/152.04/fr" TargetMode="External"/><Relationship Id="rId2" Type="http://schemas.openxmlformats.org/officeDocument/2006/relationships/hyperlink" Target="https://www.belex.sites.be.ch/data/152.051/fr" TargetMode="External"/><Relationship Id="rId1" Type="http://schemas.openxmlformats.org/officeDocument/2006/relationships/hyperlink" Target="https://www.belex.sites.be.ch/data/152.05/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8866</CharactersWithSpaces>
  <SharedDoc>false</SharedDoc>
  <HLinks>
    <vt:vector size="18" baseType="variant"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https://www.belex.sites.be.ch/data/152.04/fr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https://www.belex.sites.be.ch/data/152.051/fr</vt:lpwstr>
      </vt:variant>
      <vt:variant>
        <vt:lpwstr/>
      </vt:variant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https://www.belex.sites.be.ch/data/152.05/fr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Tarli Sascha, FIN-KAIO-BR-R</dc:creator>
  <cp:keywords/>
  <dc:description/>
  <cp:lastModifiedBy>Gehrig Marius, FIN-KAIO-Stab</cp:lastModifiedBy>
  <cp:revision>3</cp:revision>
  <cp:lastPrinted>1899-12-31T23:00:00Z</cp:lastPrinted>
  <dcterms:created xsi:type="dcterms:W3CDTF">2021-05-12T12:55:00Z</dcterms:created>
  <dcterms:modified xsi:type="dcterms:W3CDTF">2021-05-12T13:16:00Z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Synopse</vt:lpwstr>
  </property>
</Properties>
</file>