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8BF9" w14:textId="77777777" w:rsidR="001C5171" w:rsidRPr="005D7BBF" w:rsidRDefault="001C5171" w:rsidP="00121693">
      <w:pPr>
        <w:pStyle w:val="TextkrperBlau"/>
        <w:rPr>
          <w:bCs/>
          <w:color w:val="auto"/>
          <w:sz w:val="52"/>
          <w:szCs w:val="52"/>
          <w:lang w:val="fr-CH"/>
        </w:rPr>
      </w:pPr>
      <w:r w:rsidRPr="005D7BBF">
        <w:rPr>
          <w:bCs/>
          <w:color w:val="auto"/>
          <w:sz w:val="52"/>
          <w:szCs w:val="52"/>
          <w:lang w:val="fr-CH"/>
        </w:rPr>
        <w:t xml:space="preserve">Modèles </w:t>
      </w:r>
      <w:r w:rsidR="005405B1" w:rsidRPr="005D7BBF">
        <w:rPr>
          <w:bCs/>
          <w:color w:val="auto"/>
          <w:sz w:val="52"/>
          <w:szCs w:val="52"/>
          <w:lang w:val="fr-CH"/>
        </w:rPr>
        <w:t xml:space="preserve">pour </w:t>
      </w:r>
      <w:r w:rsidRPr="005D7BBF">
        <w:rPr>
          <w:bCs/>
          <w:color w:val="auto"/>
          <w:sz w:val="52"/>
          <w:szCs w:val="52"/>
          <w:lang w:val="fr-CH"/>
        </w:rPr>
        <w:t>publication (procédure sélective)</w:t>
      </w:r>
    </w:p>
    <w:p w14:paraId="15D09AB0" w14:textId="77777777" w:rsidR="001C5171" w:rsidRPr="007D5A4C" w:rsidRDefault="001C5171" w:rsidP="00121693">
      <w:pPr>
        <w:pStyle w:val="TextkrperBlau"/>
        <w:rPr>
          <w:b/>
          <w:sz w:val="21"/>
          <w:szCs w:val="21"/>
          <w:lang w:val="fr-CH"/>
        </w:rPr>
      </w:pPr>
    </w:p>
    <w:p w14:paraId="7ECB137F" w14:textId="77777777" w:rsidR="00D43584" w:rsidRPr="007D5A4C" w:rsidRDefault="00D43584" w:rsidP="00D43584">
      <w:pPr>
        <w:pStyle w:val="TextkrperBlau"/>
        <w:rPr>
          <w:b/>
          <w:lang w:val="fr-CH"/>
        </w:rPr>
      </w:pPr>
      <w:r w:rsidRPr="007D5A4C">
        <w:rPr>
          <w:b/>
          <w:lang w:val="fr-CH"/>
        </w:rPr>
        <w:t>Remarques pour le service adjudicateur</w:t>
      </w:r>
    </w:p>
    <w:p w14:paraId="4FB7ECDE" w14:textId="77777777" w:rsidR="00D43584" w:rsidRPr="007D5A4C" w:rsidRDefault="00D43584" w:rsidP="00D43584">
      <w:pPr>
        <w:pStyle w:val="TextkrperBlau"/>
        <w:rPr>
          <w:lang w:val="fr-CH"/>
        </w:rPr>
      </w:pPr>
      <w:r w:rsidRPr="007D5A4C">
        <w:rPr>
          <w:lang w:val="fr-CH"/>
        </w:rPr>
        <w:t>Les types de texte suivants sont utilisés dans le document :</w:t>
      </w:r>
    </w:p>
    <w:p w14:paraId="5E06D2B2" w14:textId="77777777" w:rsidR="00D43584" w:rsidRPr="007D5A4C" w:rsidRDefault="00D43584" w:rsidP="00D43584">
      <w:pPr>
        <w:pStyle w:val="TextkrperBlau"/>
        <w:rPr>
          <w:u w:val="single"/>
          <w:lang w:val="fr-CH"/>
        </w:rPr>
      </w:pPr>
      <w:r w:rsidRPr="007D5A4C">
        <w:rPr>
          <w:u w:val="single"/>
          <w:lang w:val="fr-CH"/>
        </w:rPr>
        <w:t>Texte standard :</w:t>
      </w:r>
    </w:p>
    <w:p w14:paraId="46CDCC88" w14:textId="77777777" w:rsidR="00D43584" w:rsidRPr="007D5A4C" w:rsidRDefault="00D43584" w:rsidP="00D43584">
      <w:pPr>
        <w:pStyle w:val="TextkrperBlau"/>
        <w:rPr>
          <w:lang w:val="fr-CH"/>
        </w:rPr>
      </w:pPr>
      <w:r w:rsidRPr="007D5A4C">
        <w:rPr>
          <w:lang w:val="fr-CH"/>
        </w:rPr>
        <w:t xml:space="preserve">Les informations à caractère général, les listes et les contenus qui peuvent en principe être repris sans modification figurent </w:t>
      </w:r>
      <w:r w:rsidRPr="007D5A4C">
        <w:rPr>
          <w:b/>
          <w:color w:val="auto"/>
          <w:lang w:val="fr-CH"/>
        </w:rPr>
        <w:t>en c</w:t>
      </w:r>
      <w:r w:rsidRPr="007D5A4C">
        <w:rPr>
          <w:b/>
          <w:color w:val="000000" w:themeColor="text1"/>
          <w:lang w:val="fr-CH"/>
        </w:rPr>
        <w:t>aractères noirs</w:t>
      </w:r>
      <w:r w:rsidRPr="007D5A4C">
        <w:rPr>
          <w:lang w:val="fr-CH"/>
        </w:rPr>
        <w:t>.</w:t>
      </w:r>
    </w:p>
    <w:p w14:paraId="602C5D63" w14:textId="77777777" w:rsidR="00D43584" w:rsidRPr="007D5A4C" w:rsidRDefault="00D43584" w:rsidP="00D43584">
      <w:pPr>
        <w:pStyle w:val="TextkrperBlau"/>
        <w:rPr>
          <w:u w:val="single"/>
          <w:lang w:val="fr-CH"/>
        </w:rPr>
      </w:pPr>
      <w:r w:rsidRPr="007D5A4C">
        <w:rPr>
          <w:u w:val="single"/>
          <w:lang w:val="fr-CH"/>
        </w:rPr>
        <w:t>Textes informatifs :</w:t>
      </w:r>
    </w:p>
    <w:p w14:paraId="210792F5" w14:textId="77777777" w:rsidR="00D43584" w:rsidRPr="007D5A4C" w:rsidRDefault="00D43584" w:rsidP="00D43584">
      <w:pPr>
        <w:pStyle w:val="TextkrperBlau"/>
        <w:rPr>
          <w:lang w:val="fr-CH"/>
        </w:rPr>
      </w:pPr>
      <w:r w:rsidRPr="007D5A4C">
        <w:rPr>
          <w:lang w:val="fr-CH"/>
        </w:rPr>
        <w:t xml:space="preserve">Les informations à l’attention de l’auteur·e figurent </w:t>
      </w:r>
      <w:r w:rsidRPr="007D5A4C">
        <w:rPr>
          <w:b/>
          <w:lang w:val="fr-CH"/>
        </w:rPr>
        <w:t>en caractères bleus</w:t>
      </w:r>
      <w:r w:rsidR="005405B1" w:rsidRPr="007D5A4C">
        <w:rPr>
          <w:b/>
          <w:lang w:val="fr-CH"/>
        </w:rPr>
        <w:t>.</w:t>
      </w:r>
      <w:r w:rsidRPr="007D5A4C">
        <w:rPr>
          <w:lang w:val="fr-CH"/>
        </w:rPr>
        <w:t xml:space="preserve"> Les textes informatifs doivent être supprimés avant la validation du document.</w:t>
      </w:r>
    </w:p>
    <w:p w14:paraId="3A9D7B60" w14:textId="77777777" w:rsidR="00D43584" w:rsidRPr="007D5A4C" w:rsidRDefault="00D43584" w:rsidP="00D43584">
      <w:pPr>
        <w:pStyle w:val="TextkrperBlau"/>
        <w:rPr>
          <w:u w:val="single"/>
          <w:lang w:val="fr-CH"/>
        </w:rPr>
      </w:pPr>
      <w:r w:rsidRPr="007D5A4C">
        <w:rPr>
          <w:szCs w:val="21"/>
          <w:u w:val="single"/>
          <w:lang w:val="fr-CH"/>
        </w:rPr>
        <w:t>Textes prédéfinis </w:t>
      </w:r>
      <w:r w:rsidRPr="007D5A4C">
        <w:rPr>
          <w:u w:val="single"/>
          <w:lang w:val="fr-CH"/>
        </w:rPr>
        <w:t>:</w:t>
      </w:r>
    </w:p>
    <w:p w14:paraId="4692D875" w14:textId="77777777" w:rsidR="00D43584" w:rsidRPr="007D5A4C" w:rsidRDefault="00D43584" w:rsidP="00D43584">
      <w:pPr>
        <w:pStyle w:val="TextkrperBlau"/>
        <w:rPr>
          <w:lang w:val="fr-CH"/>
        </w:rPr>
      </w:pPr>
      <w:r w:rsidRPr="007D5A4C">
        <w:rPr>
          <w:lang w:val="fr-CH"/>
        </w:rPr>
        <w:t xml:space="preserve">Les propositions de texte à caractère général figurent </w:t>
      </w:r>
      <w:r w:rsidRPr="007D5A4C">
        <w:rPr>
          <w:b/>
          <w:color w:val="FF0000"/>
          <w:lang w:val="fr-CH"/>
        </w:rPr>
        <w:t>en caractères rouges</w:t>
      </w:r>
      <w:r w:rsidRPr="007D5A4C">
        <w:rPr>
          <w:lang w:val="fr-CH"/>
        </w:rPr>
        <w:t>. Veuillez les vérifier et, si nécessaire, les adapter à votre appel d’offres. Mettez en caractères noirs le texte repris ou adapté. Les propositions de texte non utilisées doivent être supprimées.</w:t>
      </w:r>
    </w:p>
    <w:p w14:paraId="0A86DE65" w14:textId="77777777" w:rsidR="00773FE4" w:rsidRPr="007D5A4C" w:rsidRDefault="00773FE4" w:rsidP="006A559D">
      <w:pPr>
        <w:spacing w:after="200" w:line="24" w:lineRule="auto"/>
        <w:rPr>
          <w:rFonts w:cstheme="minorHAnsi"/>
          <w:szCs w:val="21"/>
          <w:lang w:val="fr-CH"/>
        </w:rPr>
      </w:pPr>
      <w:r w:rsidRPr="007D5A4C">
        <w:rPr>
          <w:rFonts w:cstheme="minorHAnsi"/>
          <w:szCs w:val="21"/>
          <w:lang w:val="fr-CH"/>
        </w:rPr>
        <w:br w:type="page"/>
      </w:r>
    </w:p>
    <w:p w14:paraId="730E6CA7" w14:textId="77777777" w:rsidR="004E24CC" w:rsidRPr="007D5A4C" w:rsidRDefault="004E24CC" w:rsidP="006A559D">
      <w:pPr>
        <w:spacing w:after="200" w:line="24" w:lineRule="auto"/>
        <w:rPr>
          <w:rFonts w:cstheme="minorHAnsi"/>
          <w:szCs w:val="21"/>
          <w:lang w:val="fr-CH"/>
        </w:rPr>
      </w:pPr>
    </w:p>
    <w:p w14:paraId="0B6B4A11" w14:textId="3491F90D" w:rsidR="004E24CC" w:rsidRPr="007D5A4C" w:rsidRDefault="00D273DB" w:rsidP="006A559D">
      <w:pPr>
        <w:pStyle w:val="TextkrperBlau"/>
        <w:rPr>
          <w:b/>
          <w:sz w:val="21"/>
          <w:szCs w:val="21"/>
          <w:lang w:val="fr-CH"/>
        </w:rPr>
      </w:pPr>
      <w:r>
        <w:rPr>
          <w:b/>
          <w:sz w:val="21"/>
          <w:szCs w:val="21"/>
          <w:lang w:val="fr-CH"/>
        </w:rPr>
        <w:t>Appel d’offre</w:t>
      </w:r>
      <w:r w:rsidR="00D43584" w:rsidRPr="007D5A4C">
        <w:rPr>
          <w:b/>
          <w:sz w:val="21"/>
          <w:szCs w:val="21"/>
          <w:lang w:val="fr-CH"/>
        </w:rPr>
        <w:t xml:space="preserve"> en </w:t>
      </w:r>
      <w:r w:rsidR="00564F92" w:rsidRPr="007D5A4C">
        <w:rPr>
          <w:b/>
          <w:sz w:val="21"/>
          <w:szCs w:val="21"/>
          <w:lang w:val="fr-CH"/>
        </w:rPr>
        <w:t xml:space="preserve">procédure </w:t>
      </w:r>
      <w:r w:rsidR="003F0212" w:rsidRPr="007D5A4C">
        <w:rPr>
          <w:b/>
          <w:sz w:val="21"/>
          <w:szCs w:val="21"/>
          <w:lang w:val="fr-CH"/>
        </w:rPr>
        <w:t xml:space="preserve">sélective </w:t>
      </w:r>
      <w:r w:rsidR="005405B1" w:rsidRPr="007D5A4C">
        <w:rPr>
          <w:b/>
          <w:sz w:val="21"/>
          <w:szCs w:val="21"/>
          <w:lang w:val="fr-CH"/>
        </w:rPr>
        <w:t>(sélection</w:t>
      </w:r>
      <w:r w:rsidR="009C0372">
        <w:rPr>
          <w:b/>
          <w:sz w:val="21"/>
          <w:szCs w:val="21"/>
          <w:lang w:val="fr-CH"/>
        </w:rPr>
        <w:t xml:space="preserve"> des participants</w:t>
      </w:r>
      <w:r w:rsidR="005405B1" w:rsidRPr="007D5A4C">
        <w:rPr>
          <w:b/>
          <w:sz w:val="21"/>
          <w:szCs w:val="21"/>
          <w:lang w:val="fr-CH"/>
        </w:rPr>
        <w:t>)</w:t>
      </w:r>
    </w:p>
    <w:tbl>
      <w:tblPr>
        <w:tblStyle w:val="BETabelle1"/>
        <w:tblW w:w="9127" w:type="dxa"/>
        <w:tblLook w:val="04A0" w:firstRow="1" w:lastRow="0" w:firstColumn="1" w:lastColumn="0" w:noHBand="0" w:noVBand="1"/>
      </w:tblPr>
      <w:tblGrid>
        <w:gridCol w:w="2551"/>
        <w:gridCol w:w="6576"/>
      </w:tblGrid>
      <w:tr w:rsidR="007E2DD7" w:rsidRPr="007D5A4C" w14:paraId="4DCAB362" w14:textId="77777777" w:rsidTr="007E2DD7">
        <w:trPr>
          <w:cnfStyle w:val="100000000000" w:firstRow="1" w:lastRow="0" w:firstColumn="0" w:lastColumn="0" w:oddVBand="0" w:evenVBand="0" w:oddHBand="0" w:evenHBand="0" w:firstRowFirstColumn="0" w:firstRowLastColumn="0" w:lastRowFirstColumn="0" w:lastRowLastColumn="0"/>
        </w:trPr>
        <w:tc>
          <w:tcPr>
            <w:tcW w:w="2551" w:type="dxa"/>
          </w:tcPr>
          <w:p w14:paraId="17364657" w14:textId="77777777" w:rsidR="007E2DD7" w:rsidRPr="007D5A4C" w:rsidRDefault="007E2DD7" w:rsidP="006A559D">
            <w:pPr>
              <w:pStyle w:val="AufzhlungNumm2CDB"/>
              <w:numPr>
                <w:ilvl w:val="0"/>
                <w:numId w:val="0"/>
              </w:numPr>
              <w:tabs>
                <w:tab w:val="left" w:pos="708"/>
              </w:tabs>
              <w:spacing w:after="60" w:line="240" w:lineRule="auto"/>
              <w:rPr>
                <w:b/>
                <w:sz w:val="21"/>
                <w:szCs w:val="21"/>
                <w:lang w:val="fr-CH"/>
              </w:rPr>
            </w:pPr>
            <w:r w:rsidRPr="007D5A4C">
              <w:rPr>
                <w:b/>
                <w:sz w:val="21"/>
                <w:szCs w:val="21"/>
                <w:lang w:val="fr-CH"/>
              </w:rPr>
              <w:t>Champ</w:t>
            </w:r>
          </w:p>
        </w:tc>
        <w:tc>
          <w:tcPr>
            <w:tcW w:w="6576" w:type="dxa"/>
          </w:tcPr>
          <w:p w14:paraId="18353F51" w14:textId="77777777" w:rsidR="007E2DD7" w:rsidRPr="007D5A4C" w:rsidRDefault="007E2DD7" w:rsidP="006A559D">
            <w:pPr>
              <w:pStyle w:val="AufzhlungNumm2CDB"/>
              <w:numPr>
                <w:ilvl w:val="0"/>
                <w:numId w:val="0"/>
              </w:numPr>
              <w:tabs>
                <w:tab w:val="left" w:pos="708"/>
              </w:tabs>
              <w:spacing w:after="60" w:line="240" w:lineRule="auto"/>
              <w:rPr>
                <w:b/>
                <w:sz w:val="21"/>
                <w:szCs w:val="21"/>
                <w:lang w:val="fr-CH"/>
              </w:rPr>
            </w:pPr>
            <w:r w:rsidRPr="007D5A4C">
              <w:rPr>
                <w:b/>
                <w:sz w:val="21"/>
                <w:szCs w:val="21"/>
                <w:lang w:val="fr-CH"/>
              </w:rPr>
              <w:t>Contenu</w:t>
            </w:r>
          </w:p>
        </w:tc>
      </w:tr>
      <w:tr w:rsidR="005D7BBF" w:rsidRPr="00A91910" w14:paraId="7DEC5057" w14:textId="77777777" w:rsidTr="007E2DD7">
        <w:tc>
          <w:tcPr>
            <w:tcW w:w="2551" w:type="dxa"/>
          </w:tcPr>
          <w:p w14:paraId="11F294E2" w14:textId="406159A0" w:rsidR="005D7BBF" w:rsidRPr="00A91910" w:rsidDel="005D7BBF" w:rsidRDefault="00A91910" w:rsidP="006A559D">
            <w:pPr>
              <w:pStyle w:val="AufzhlungNumm2CDB"/>
              <w:numPr>
                <w:ilvl w:val="0"/>
                <w:numId w:val="0"/>
              </w:numPr>
              <w:tabs>
                <w:tab w:val="left" w:pos="708"/>
              </w:tabs>
              <w:spacing w:after="60" w:line="240" w:lineRule="auto"/>
              <w:rPr>
                <w:b/>
                <w:bCs/>
                <w:sz w:val="21"/>
                <w:szCs w:val="21"/>
                <w:lang w:val="fr-CH"/>
              </w:rPr>
            </w:pPr>
            <w:proofErr w:type="spellStart"/>
            <w:r w:rsidRPr="00A91910">
              <w:rPr>
                <w:b/>
                <w:bCs/>
                <w:sz w:val="21"/>
                <w:szCs w:val="21"/>
                <w:lang w:val="fr-CH"/>
              </w:rPr>
              <w:t>Soumissionaires</w:t>
            </w:r>
            <w:proofErr w:type="spellEnd"/>
            <w:r w:rsidRPr="00A91910">
              <w:rPr>
                <w:b/>
                <w:bCs/>
                <w:sz w:val="21"/>
                <w:szCs w:val="21"/>
                <w:lang w:val="fr-CH"/>
              </w:rPr>
              <w:t xml:space="preserve"> </w:t>
            </w:r>
            <w:r w:rsidRPr="00A91910">
              <w:rPr>
                <w:b/>
                <w:bCs/>
                <w:sz w:val="21"/>
                <w:szCs w:val="21"/>
                <w:lang w:val="fr-CH"/>
              </w:rPr>
              <w:br/>
              <w:t xml:space="preserve">qualifiés </w:t>
            </w:r>
          </w:p>
        </w:tc>
        <w:tc>
          <w:tcPr>
            <w:tcW w:w="6576" w:type="dxa"/>
          </w:tcPr>
          <w:p w14:paraId="22464C5D" w14:textId="77777777" w:rsidR="005D7BBF" w:rsidRPr="00A91910" w:rsidDel="005D7BBF" w:rsidRDefault="005D7BBF" w:rsidP="00D43584">
            <w:pPr>
              <w:pStyle w:val="AufzhlungNumm2CDB"/>
              <w:numPr>
                <w:ilvl w:val="0"/>
                <w:numId w:val="0"/>
              </w:numPr>
              <w:tabs>
                <w:tab w:val="left" w:pos="708"/>
              </w:tabs>
              <w:spacing w:after="60" w:line="240" w:lineRule="auto"/>
              <w:rPr>
                <w:b/>
                <w:bCs/>
                <w:sz w:val="21"/>
                <w:szCs w:val="21"/>
                <w:lang w:val="fr-CH"/>
              </w:rPr>
            </w:pPr>
          </w:p>
        </w:tc>
      </w:tr>
      <w:tr w:rsidR="007E2DD7" w:rsidRPr="007D5A4C" w14:paraId="7913E9E4" w14:textId="77777777" w:rsidTr="007E2DD7">
        <w:tc>
          <w:tcPr>
            <w:tcW w:w="2551" w:type="dxa"/>
          </w:tcPr>
          <w:p w14:paraId="573932C5" w14:textId="15D283BF" w:rsidR="007E2DD7" w:rsidRPr="007D5A4C" w:rsidRDefault="005D7BBF">
            <w:pPr>
              <w:pStyle w:val="AufzhlungNumm2CDB"/>
              <w:numPr>
                <w:ilvl w:val="0"/>
                <w:numId w:val="0"/>
              </w:numPr>
              <w:tabs>
                <w:tab w:val="left" w:pos="708"/>
              </w:tabs>
              <w:spacing w:after="60" w:line="240" w:lineRule="auto"/>
              <w:ind w:right="257"/>
              <w:rPr>
                <w:sz w:val="21"/>
                <w:szCs w:val="21"/>
                <w:lang w:val="fr-CH"/>
              </w:rPr>
            </w:pPr>
            <w:proofErr w:type="spellStart"/>
            <w:r>
              <w:rPr>
                <w:sz w:val="21"/>
                <w:szCs w:val="21"/>
                <w:lang w:val="fr-CH"/>
              </w:rPr>
              <w:t>Soumissionaire</w:t>
            </w:r>
            <w:proofErr w:type="spellEnd"/>
            <w:r>
              <w:rPr>
                <w:sz w:val="21"/>
                <w:szCs w:val="21"/>
                <w:lang w:val="fr-CH"/>
              </w:rPr>
              <w:t xml:space="preserve"> </w:t>
            </w:r>
          </w:p>
        </w:tc>
        <w:tc>
          <w:tcPr>
            <w:tcW w:w="6576" w:type="dxa"/>
          </w:tcPr>
          <w:p w14:paraId="485DA0C8" w14:textId="77777777" w:rsidR="007E2DD7" w:rsidRPr="007D5A4C" w:rsidRDefault="007E2DD7" w:rsidP="003F0212">
            <w:pPr>
              <w:pStyle w:val="AufzhlungNumm2CDB"/>
              <w:numPr>
                <w:ilvl w:val="0"/>
                <w:numId w:val="0"/>
              </w:numPr>
              <w:tabs>
                <w:tab w:val="left" w:pos="708"/>
              </w:tabs>
              <w:spacing w:after="60" w:line="240" w:lineRule="auto"/>
              <w:rPr>
                <w:color w:val="FF0000"/>
                <w:sz w:val="21"/>
                <w:szCs w:val="21"/>
                <w:lang w:val="fr-CH"/>
              </w:rPr>
            </w:pPr>
            <w:r w:rsidRPr="007D5A4C">
              <w:rPr>
                <w:color w:val="FF0000"/>
                <w:sz w:val="21"/>
                <w:szCs w:val="21"/>
                <w:lang w:val="fr-CH"/>
              </w:rPr>
              <w:t>Exemple 1 SA / Berne</w:t>
            </w:r>
            <w:r>
              <w:rPr>
                <w:color w:val="FF0000"/>
                <w:sz w:val="21"/>
                <w:szCs w:val="21"/>
                <w:lang w:val="fr-CH"/>
              </w:rPr>
              <w:t xml:space="preserve"> </w:t>
            </w:r>
          </w:p>
          <w:p w14:paraId="4AEE041A" w14:textId="77777777" w:rsidR="007E2DD7" w:rsidRPr="007D5A4C" w:rsidRDefault="007E2DD7" w:rsidP="003F0212">
            <w:pPr>
              <w:pStyle w:val="AufzhlungNumm2CDB"/>
              <w:numPr>
                <w:ilvl w:val="0"/>
                <w:numId w:val="0"/>
              </w:numPr>
              <w:tabs>
                <w:tab w:val="left" w:pos="708"/>
              </w:tabs>
              <w:spacing w:after="60" w:line="240" w:lineRule="auto"/>
              <w:rPr>
                <w:color w:val="FF0000"/>
                <w:sz w:val="21"/>
                <w:szCs w:val="21"/>
                <w:lang w:val="fr-CH"/>
              </w:rPr>
            </w:pPr>
            <w:r>
              <w:rPr>
                <w:color w:val="FF0000"/>
                <w:sz w:val="21"/>
                <w:szCs w:val="21"/>
                <w:lang w:val="fr-CH"/>
              </w:rPr>
              <w:t xml:space="preserve">Exemple 2 SA / Berne </w:t>
            </w:r>
          </w:p>
          <w:p w14:paraId="2820456B" w14:textId="77777777" w:rsidR="007E2DD7" w:rsidRPr="007D5A4C" w:rsidRDefault="007E2DD7" w:rsidP="00C91E09">
            <w:pPr>
              <w:pStyle w:val="AufzhlungNumm2CDB"/>
              <w:numPr>
                <w:ilvl w:val="0"/>
                <w:numId w:val="0"/>
              </w:numPr>
              <w:tabs>
                <w:tab w:val="left" w:pos="708"/>
              </w:tabs>
              <w:spacing w:after="60" w:line="240" w:lineRule="auto"/>
              <w:rPr>
                <w:sz w:val="21"/>
                <w:szCs w:val="21"/>
                <w:lang w:val="fr-CH"/>
              </w:rPr>
            </w:pPr>
            <w:r>
              <w:rPr>
                <w:color w:val="FF0000"/>
                <w:sz w:val="21"/>
                <w:szCs w:val="21"/>
                <w:lang w:val="fr-CH"/>
              </w:rPr>
              <w:t xml:space="preserve">Exemple 3 SA / Berne </w:t>
            </w:r>
          </w:p>
        </w:tc>
      </w:tr>
      <w:tr w:rsidR="007E2DD7" w:rsidRPr="006D5486" w14:paraId="1D8E4A1E" w14:textId="77777777" w:rsidTr="007E2DD7">
        <w:tc>
          <w:tcPr>
            <w:tcW w:w="2551" w:type="dxa"/>
          </w:tcPr>
          <w:p w14:paraId="6536EDC5" w14:textId="5EE2E8F8" w:rsidR="007E2DD7" w:rsidRDefault="007E2DD7" w:rsidP="006D5486">
            <w:pPr>
              <w:pStyle w:val="AufzhlungNumm2CDB"/>
              <w:numPr>
                <w:ilvl w:val="0"/>
                <w:numId w:val="0"/>
              </w:numPr>
              <w:tabs>
                <w:tab w:val="left" w:pos="708"/>
              </w:tabs>
              <w:spacing w:after="60" w:line="240" w:lineRule="auto"/>
              <w:ind w:right="257"/>
              <w:jc w:val="left"/>
              <w:rPr>
                <w:sz w:val="21"/>
                <w:szCs w:val="21"/>
                <w:lang w:val="fr-CH"/>
              </w:rPr>
            </w:pPr>
            <w:r>
              <w:rPr>
                <w:sz w:val="21"/>
                <w:szCs w:val="21"/>
                <w:lang w:val="fr-CH"/>
              </w:rPr>
              <w:t>Information sur</w:t>
            </w:r>
            <w:r w:rsidR="006D5486">
              <w:rPr>
                <w:sz w:val="21"/>
                <w:szCs w:val="21"/>
                <w:lang w:val="fr-CH"/>
              </w:rPr>
              <w:t xml:space="preserve"> </w:t>
            </w:r>
            <w:r w:rsidR="005D7BBF">
              <w:rPr>
                <w:sz w:val="21"/>
                <w:szCs w:val="21"/>
                <w:lang w:val="fr-CH"/>
              </w:rPr>
              <w:t>le</w:t>
            </w:r>
            <w:r w:rsidR="006D5486">
              <w:rPr>
                <w:sz w:val="21"/>
                <w:szCs w:val="21"/>
                <w:lang w:val="fr-CH"/>
              </w:rPr>
              <w:t xml:space="preserve"> </w:t>
            </w:r>
            <w:r w:rsidR="005D7BBF">
              <w:rPr>
                <w:sz w:val="21"/>
                <w:szCs w:val="21"/>
                <w:lang w:val="fr-CH"/>
              </w:rPr>
              <w:t xml:space="preserve">choix de participants </w:t>
            </w:r>
          </w:p>
        </w:tc>
        <w:tc>
          <w:tcPr>
            <w:tcW w:w="6576" w:type="dxa"/>
          </w:tcPr>
          <w:p w14:paraId="074C84C6" w14:textId="32EB4853" w:rsidR="007E2DD7" w:rsidRPr="007D5A4C" w:rsidRDefault="007E2DD7" w:rsidP="003F0212">
            <w:pPr>
              <w:pStyle w:val="AufzhlungNumm2CDB"/>
              <w:numPr>
                <w:ilvl w:val="0"/>
                <w:numId w:val="0"/>
              </w:numPr>
              <w:tabs>
                <w:tab w:val="left" w:pos="708"/>
              </w:tabs>
              <w:spacing w:after="60" w:line="240" w:lineRule="auto"/>
              <w:rPr>
                <w:color w:val="FF0000"/>
                <w:sz w:val="21"/>
                <w:szCs w:val="21"/>
                <w:lang w:val="fr-CH"/>
              </w:rPr>
            </w:pPr>
            <w:proofErr w:type="gramStart"/>
            <w:r w:rsidRPr="007D5A4C">
              <w:rPr>
                <w:sz w:val="21"/>
                <w:szCs w:val="21"/>
                <w:lang w:val="fr-CH"/>
              </w:rPr>
              <w:t xml:space="preserve">Dans </w:t>
            </w:r>
            <w:r w:rsidR="00D273DB">
              <w:rPr>
                <w:sz w:val="21"/>
                <w:szCs w:val="21"/>
                <w:lang w:val="fr-CH"/>
              </w:rPr>
              <w:t xml:space="preserve"> </w:t>
            </w:r>
            <w:proofErr w:type="spellStart"/>
            <w:r w:rsidR="00D273DB">
              <w:rPr>
                <w:sz w:val="21"/>
                <w:szCs w:val="21"/>
                <w:lang w:val="fr-CH"/>
              </w:rPr>
              <w:t>lâppel</w:t>
            </w:r>
            <w:proofErr w:type="spellEnd"/>
            <w:proofErr w:type="gramEnd"/>
            <w:r w:rsidR="00D273DB">
              <w:rPr>
                <w:sz w:val="21"/>
                <w:szCs w:val="21"/>
                <w:lang w:val="fr-CH"/>
              </w:rPr>
              <w:t xml:space="preserve"> d</w:t>
            </w:r>
            <w:r w:rsidRPr="007D5A4C">
              <w:rPr>
                <w:sz w:val="21"/>
                <w:szCs w:val="21"/>
                <w:lang w:val="fr-CH"/>
              </w:rPr>
              <w:t xml:space="preserve">, le donneur d’ordre a indiqué qu’il souhaitait </w:t>
            </w:r>
            <w:r w:rsidRPr="00A91910">
              <w:rPr>
                <w:sz w:val="21"/>
                <w:szCs w:val="21"/>
                <w:highlight w:val="yellow"/>
                <w:lang w:val="fr-CH"/>
              </w:rPr>
              <w:t>retenir trois entreprises candidates au plus</w:t>
            </w:r>
            <w:r w:rsidRPr="007D5A4C">
              <w:rPr>
                <w:sz w:val="21"/>
                <w:szCs w:val="21"/>
                <w:lang w:val="fr-CH"/>
              </w:rPr>
              <w:t xml:space="preserve"> pour participer à la procédure . Les entreprises candidates ci-dessus répondent aux critères d’aptitude. Ayant obtenu le plus grand nombre de points en la matière, elles sont les </w:t>
            </w:r>
            <w:r w:rsidRPr="009C0372">
              <w:rPr>
                <w:color w:val="FF0000"/>
                <w:sz w:val="21"/>
                <w:szCs w:val="21"/>
                <w:lang w:val="fr-CH"/>
              </w:rPr>
              <w:t xml:space="preserve">trois </w:t>
            </w:r>
            <w:r>
              <w:rPr>
                <w:sz w:val="21"/>
                <w:szCs w:val="21"/>
                <w:lang w:val="fr-CH"/>
              </w:rPr>
              <w:t>les plus</w:t>
            </w:r>
            <w:r w:rsidRPr="007D5A4C">
              <w:rPr>
                <w:sz w:val="21"/>
                <w:szCs w:val="21"/>
                <w:lang w:val="fr-CH"/>
              </w:rPr>
              <w:t xml:space="preserve"> ap</w:t>
            </w:r>
            <w:r>
              <w:rPr>
                <w:sz w:val="21"/>
                <w:szCs w:val="21"/>
                <w:lang w:val="fr-CH"/>
              </w:rPr>
              <w:t>tes</w:t>
            </w:r>
            <w:r w:rsidRPr="007D5A4C">
              <w:rPr>
                <w:sz w:val="21"/>
                <w:szCs w:val="21"/>
                <w:lang w:val="fr-CH"/>
              </w:rPr>
              <w:t>.</w:t>
            </w:r>
          </w:p>
        </w:tc>
      </w:tr>
      <w:tr w:rsidR="007E2DD7" w:rsidRPr="006D5486" w14:paraId="07685590" w14:textId="77777777" w:rsidTr="007E2DD7">
        <w:tc>
          <w:tcPr>
            <w:tcW w:w="2551" w:type="dxa"/>
          </w:tcPr>
          <w:p w14:paraId="655A43B1" w14:textId="256E1076" w:rsidR="007E2DD7" w:rsidRPr="007D5A4C" w:rsidRDefault="007E2DD7" w:rsidP="00D43584">
            <w:pPr>
              <w:pStyle w:val="AufzhlungNumm2CDB"/>
              <w:numPr>
                <w:ilvl w:val="0"/>
                <w:numId w:val="0"/>
              </w:numPr>
              <w:tabs>
                <w:tab w:val="left" w:pos="708"/>
              </w:tabs>
              <w:spacing w:after="60" w:line="240" w:lineRule="auto"/>
              <w:ind w:right="115"/>
              <w:jc w:val="left"/>
              <w:rPr>
                <w:sz w:val="21"/>
                <w:szCs w:val="21"/>
                <w:lang w:val="fr-CH"/>
              </w:rPr>
            </w:pPr>
            <w:r w:rsidRPr="007D5A4C">
              <w:rPr>
                <w:sz w:val="21"/>
                <w:szCs w:val="21"/>
                <w:lang w:val="fr-CH"/>
              </w:rPr>
              <w:t>Voie</w:t>
            </w:r>
            <w:r w:rsidR="005D7BBF">
              <w:rPr>
                <w:sz w:val="21"/>
                <w:szCs w:val="21"/>
                <w:lang w:val="fr-CH"/>
              </w:rPr>
              <w:t>s de</w:t>
            </w:r>
            <w:r w:rsidR="006D5486">
              <w:rPr>
                <w:sz w:val="21"/>
                <w:szCs w:val="21"/>
                <w:lang w:val="fr-CH"/>
              </w:rPr>
              <w:t xml:space="preserve"> </w:t>
            </w:r>
            <w:r w:rsidRPr="007D5A4C">
              <w:rPr>
                <w:sz w:val="21"/>
                <w:szCs w:val="21"/>
                <w:lang w:val="fr-CH"/>
              </w:rPr>
              <w:t>droit</w:t>
            </w:r>
          </w:p>
        </w:tc>
        <w:tc>
          <w:tcPr>
            <w:tcW w:w="6576" w:type="dxa"/>
          </w:tcPr>
          <w:p w14:paraId="52E3C779" w14:textId="77777777" w:rsidR="007E2DD7" w:rsidRPr="007D5A4C" w:rsidRDefault="007E2DD7" w:rsidP="00D43584">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La présente décision peut, dans un délai de 20 jours à compter de sa publication, faire l’objet d’un recours auprès de </w:t>
            </w:r>
            <w:r w:rsidRPr="007D5A4C">
              <w:rPr>
                <w:color w:val="FF0000"/>
                <w:sz w:val="21"/>
                <w:szCs w:val="21"/>
                <w:lang w:val="fr-CH"/>
              </w:rPr>
              <w:t>nom et adresse de l’instance de recours</w:t>
            </w:r>
            <w:r w:rsidRPr="007D5A4C">
              <w:rPr>
                <w:sz w:val="21"/>
                <w:szCs w:val="21"/>
                <w:lang w:val="fr-CH"/>
              </w:rPr>
              <w:t>. Tout recours doit présenter des conclusions, indiquer les faits, les moyens de preuve et les motifs et porter une signature. Cette publication et les moyens de preuve disponibles doivent lui être joints.</w:t>
            </w:r>
          </w:p>
        </w:tc>
      </w:tr>
    </w:tbl>
    <w:p w14:paraId="48A7184E" w14:textId="77777777" w:rsidR="00E23FD3" w:rsidRPr="007D5A4C" w:rsidRDefault="00E23FD3" w:rsidP="006A559D">
      <w:pPr>
        <w:pStyle w:val="TextkrperBlau"/>
        <w:rPr>
          <w:b/>
          <w:sz w:val="21"/>
          <w:szCs w:val="21"/>
          <w:lang w:val="fr-CH"/>
        </w:rPr>
      </w:pPr>
    </w:p>
    <w:p w14:paraId="4D5C3B81" w14:textId="77777777" w:rsidR="00F7127D" w:rsidRPr="007D5A4C" w:rsidRDefault="00F7127D">
      <w:pPr>
        <w:spacing w:after="200" w:line="24" w:lineRule="auto"/>
        <w:rPr>
          <w:rFonts w:ascii="Arial" w:eastAsia="Times New Roman" w:hAnsi="Arial" w:cs="Times New Roman"/>
          <w:b/>
          <w:bCs w:val="0"/>
          <w:color w:val="0000FF"/>
          <w:spacing w:val="0"/>
          <w:szCs w:val="21"/>
          <w:lang w:val="fr-CH" w:eastAsia="de-DE" w:bidi="en-US"/>
        </w:rPr>
      </w:pPr>
      <w:r w:rsidRPr="007D5A4C">
        <w:rPr>
          <w:b/>
          <w:szCs w:val="21"/>
          <w:lang w:val="fr-CH"/>
        </w:rPr>
        <w:br w:type="page"/>
      </w:r>
    </w:p>
    <w:p w14:paraId="6663B587" w14:textId="77777777" w:rsidR="006A559D" w:rsidRPr="007D5A4C" w:rsidRDefault="003F0212" w:rsidP="006A559D">
      <w:pPr>
        <w:pStyle w:val="TextkrperBlau"/>
        <w:rPr>
          <w:b/>
          <w:sz w:val="21"/>
          <w:szCs w:val="21"/>
          <w:lang w:val="fr-CH"/>
        </w:rPr>
      </w:pPr>
      <w:r w:rsidRPr="007D5A4C">
        <w:rPr>
          <w:b/>
          <w:sz w:val="21"/>
          <w:szCs w:val="21"/>
          <w:lang w:val="fr-CH"/>
        </w:rPr>
        <w:lastRenderedPageBreak/>
        <w:t>Adjudication</w:t>
      </w:r>
      <w:r w:rsidR="006A559D" w:rsidRPr="007D5A4C">
        <w:rPr>
          <w:b/>
          <w:sz w:val="21"/>
          <w:szCs w:val="21"/>
          <w:lang w:val="fr-CH"/>
        </w:rPr>
        <w:t xml:space="preserve"> </w:t>
      </w:r>
      <w:r w:rsidR="00D43584" w:rsidRPr="007D5A4C">
        <w:rPr>
          <w:b/>
          <w:sz w:val="21"/>
          <w:szCs w:val="21"/>
          <w:lang w:val="fr-CH"/>
        </w:rPr>
        <w:t>en procédure sélective</w:t>
      </w:r>
      <w:r w:rsidR="00625E99" w:rsidRPr="007D5A4C">
        <w:rPr>
          <w:b/>
          <w:sz w:val="21"/>
          <w:szCs w:val="21"/>
          <w:lang w:val="fr-CH"/>
        </w:rPr>
        <w:t xml:space="preserve"> </w:t>
      </w:r>
    </w:p>
    <w:tbl>
      <w:tblPr>
        <w:tblStyle w:val="BETabelle1"/>
        <w:tblW w:w="0" w:type="auto"/>
        <w:tblLook w:val="04A0" w:firstRow="1" w:lastRow="0" w:firstColumn="1" w:lastColumn="0" w:noHBand="0" w:noVBand="1"/>
      </w:tblPr>
      <w:tblGrid>
        <w:gridCol w:w="2694"/>
        <w:gridCol w:w="6576"/>
      </w:tblGrid>
      <w:tr w:rsidR="000530B4" w:rsidRPr="007D5A4C" w14:paraId="78670223" w14:textId="77777777" w:rsidTr="009C0372">
        <w:trPr>
          <w:cnfStyle w:val="100000000000" w:firstRow="1" w:lastRow="0" w:firstColumn="0" w:lastColumn="0" w:oddVBand="0" w:evenVBand="0" w:oddHBand="0" w:evenHBand="0" w:firstRowFirstColumn="0" w:firstRowLastColumn="0" w:lastRowFirstColumn="0" w:lastRowLastColumn="0"/>
        </w:trPr>
        <w:tc>
          <w:tcPr>
            <w:tcW w:w="2694" w:type="dxa"/>
          </w:tcPr>
          <w:p w14:paraId="6E3CCC6E" w14:textId="77777777" w:rsidR="000530B4" w:rsidRPr="007D5A4C" w:rsidRDefault="000530B4" w:rsidP="00892057">
            <w:pPr>
              <w:pStyle w:val="AufzhlungNumm2CDB"/>
              <w:numPr>
                <w:ilvl w:val="0"/>
                <w:numId w:val="0"/>
              </w:numPr>
              <w:tabs>
                <w:tab w:val="left" w:pos="708"/>
              </w:tabs>
              <w:spacing w:after="60" w:line="240" w:lineRule="auto"/>
              <w:ind w:right="399"/>
              <w:rPr>
                <w:b/>
                <w:sz w:val="21"/>
                <w:szCs w:val="21"/>
                <w:lang w:val="fr-CH"/>
              </w:rPr>
            </w:pPr>
            <w:r w:rsidRPr="007D5A4C">
              <w:rPr>
                <w:b/>
                <w:sz w:val="21"/>
                <w:szCs w:val="21"/>
                <w:lang w:val="fr-CH"/>
              </w:rPr>
              <w:t>Champ</w:t>
            </w:r>
          </w:p>
        </w:tc>
        <w:tc>
          <w:tcPr>
            <w:tcW w:w="6576" w:type="dxa"/>
          </w:tcPr>
          <w:p w14:paraId="2D7B9099" w14:textId="77777777" w:rsidR="000530B4" w:rsidRPr="007D5A4C" w:rsidRDefault="000530B4" w:rsidP="006A559D">
            <w:pPr>
              <w:pStyle w:val="AufzhlungNumm2CDB"/>
              <w:numPr>
                <w:ilvl w:val="0"/>
                <w:numId w:val="0"/>
              </w:numPr>
              <w:tabs>
                <w:tab w:val="left" w:pos="708"/>
              </w:tabs>
              <w:spacing w:after="60" w:line="240" w:lineRule="auto"/>
              <w:rPr>
                <w:b/>
                <w:sz w:val="21"/>
                <w:szCs w:val="21"/>
                <w:lang w:val="fr-CH"/>
              </w:rPr>
            </w:pPr>
            <w:r w:rsidRPr="007D5A4C">
              <w:rPr>
                <w:b/>
                <w:sz w:val="21"/>
                <w:szCs w:val="21"/>
                <w:lang w:val="fr-CH"/>
              </w:rPr>
              <w:t>Contenu</w:t>
            </w:r>
          </w:p>
        </w:tc>
      </w:tr>
      <w:tr w:rsidR="00A91910" w:rsidRPr="007D5A4C" w14:paraId="66219313" w14:textId="77777777" w:rsidTr="009C0372">
        <w:tc>
          <w:tcPr>
            <w:tcW w:w="2694" w:type="dxa"/>
          </w:tcPr>
          <w:p w14:paraId="16852542" w14:textId="6D1EB855" w:rsidR="00A91910" w:rsidRPr="007D5A4C" w:rsidDel="00A91910" w:rsidRDefault="00801289" w:rsidP="00892057">
            <w:pPr>
              <w:pStyle w:val="AufzhlungNumm2CDB"/>
              <w:numPr>
                <w:ilvl w:val="0"/>
                <w:numId w:val="0"/>
              </w:numPr>
              <w:tabs>
                <w:tab w:val="left" w:pos="708"/>
              </w:tabs>
              <w:spacing w:after="60" w:line="240" w:lineRule="auto"/>
              <w:ind w:right="399"/>
              <w:rPr>
                <w:sz w:val="21"/>
                <w:szCs w:val="21"/>
                <w:lang w:val="fr-CH"/>
              </w:rPr>
            </w:pPr>
            <w:r w:rsidRPr="00981825">
              <w:rPr>
                <w:b/>
                <w:bCs/>
                <w:sz w:val="21"/>
                <w:szCs w:val="21"/>
                <w:lang w:val="fr-CH"/>
              </w:rPr>
              <w:t>Adjudicataire</w:t>
            </w:r>
          </w:p>
        </w:tc>
        <w:tc>
          <w:tcPr>
            <w:tcW w:w="6576" w:type="dxa"/>
          </w:tcPr>
          <w:p w14:paraId="0CF3200F" w14:textId="77777777" w:rsidR="00A91910" w:rsidRPr="007D5A4C" w:rsidDel="00A91910" w:rsidRDefault="00A91910" w:rsidP="00D43584">
            <w:pPr>
              <w:pStyle w:val="AufzhlungNumm2CDB"/>
              <w:numPr>
                <w:ilvl w:val="0"/>
                <w:numId w:val="0"/>
              </w:numPr>
              <w:tabs>
                <w:tab w:val="left" w:pos="708"/>
              </w:tabs>
              <w:spacing w:after="60" w:line="240" w:lineRule="auto"/>
              <w:rPr>
                <w:sz w:val="21"/>
                <w:szCs w:val="21"/>
                <w:lang w:val="fr-CH"/>
              </w:rPr>
            </w:pPr>
          </w:p>
        </w:tc>
      </w:tr>
      <w:tr w:rsidR="000530B4" w:rsidRPr="007D5A4C" w14:paraId="21ED1E7B" w14:textId="77777777" w:rsidTr="009C0372">
        <w:tc>
          <w:tcPr>
            <w:tcW w:w="2694" w:type="dxa"/>
          </w:tcPr>
          <w:p w14:paraId="464E86CF" w14:textId="0DF9E289" w:rsidR="000530B4" w:rsidRPr="007D5A4C" w:rsidRDefault="00801289" w:rsidP="00892057">
            <w:pPr>
              <w:pStyle w:val="AufzhlungNumm2CDB"/>
              <w:numPr>
                <w:ilvl w:val="0"/>
                <w:numId w:val="0"/>
              </w:numPr>
              <w:tabs>
                <w:tab w:val="left" w:pos="708"/>
              </w:tabs>
              <w:spacing w:after="60" w:line="240" w:lineRule="auto"/>
              <w:ind w:right="399"/>
              <w:rPr>
                <w:sz w:val="21"/>
                <w:szCs w:val="21"/>
                <w:lang w:val="fr-CH"/>
              </w:rPr>
            </w:pPr>
            <w:r>
              <w:rPr>
                <w:sz w:val="21"/>
                <w:szCs w:val="21"/>
                <w:lang w:val="fr-CH"/>
              </w:rPr>
              <w:t>S</w:t>
            </w:r>
            <w:r w:rsidR="000530B4" w:rsidRPr="007D5A4C">
              <w:rPr>
                <w:sz w:val="21"/>
                <w:szCs w:val="21"/>
                <w:lang w:val="fr-CH"/>
              </w:rPr>
              <w:t xml:space="preserve">oumissionnaire </w:t>
            </w:r>
          </w:p>
        </w:tc>
        <w:tc>
          <w:tcPr>
            <w:tcW w:w="6576" w:type="dxa"/>
          </w:tcPr>
          <w:p w14:paraId="4D968159" w14:textId="75E07B9C" w:rsidR="000530B4" w:rsidRPr="007D5A4C" w:rsidRDefault="000530B4" w:rsidP="00D43584">
            <w:pPr>
              <w:pStyle w:val="AufzhlungNumm2CDB"/>
              <w:numPr>
                <w:ilvl w:val="0"/>
                <w:numId w:val="0"/>
              </w:numPr>
              <w:tabs>
                <w:tab w:val="left" w:pos="708"/>
              </w:tabs>
              <w:spacing w:after="60" w:line="240" w:lineRule="auto"/>
              <w:rPr>
                <w:color w:val="FF0000"/>
                <w:sz w:val="21"/>
                <w:szCs w:val="21"/>
                <w:lang w:val="fr-CH"/>
              </w:rPr>
            </w:pPr>
            <w:r w:rsidRPr="007D5A4C">
              <w:rPr>
                <w:color w:val="FF0000"/>
                <w:sz w:val="21"/>
                <w:szCs w:val="21"/>
                <w:lang w:val="fr-CH"/>
              </w:rPr>
              <w:t xml:space="preserve">Exemple SA / Berne </w:t>
            </w:r>
          </w:p>
        </w:tc>
      </w:tr>
      <w:tr w:rsidR="00801289" w:rsidRPr="007D5A4C" w14:paraId="22BDC4F0" w14:textId="77777777" w:rsidTr="009C0372">
        <w:tc>
          <w:tcPr>
            <w:tcW w:w="2694" w:type="dxa"/>
          </w:tcPr>
          <w:p w14:paraId="06A718C1" w14:textId="37A12715" w:rsidR="00801289" w:rsidRPr="007D5A4C" w:rsidDel="00801289" w:rsidRDefault="00801289" w:rsidP="009C0372">
            <w:pPr>
              <w:pStyle w:val="AufzhlungNumm2CDB"/>
              <w:numPr>
                <w:ilvl w:val="0"/>
                <w:numId w:val="0"/>
              </w:numPr>
              <w:tabs>
                <w:tab w:val="left" w:pos="708"/>
                <w:tab w:val="left" w:pos="2128"/>
              </w:tabs>
              <w:spacing w:after="60" w:line="240" w:lineRule="auto"/>
              <w:ind w:right="399"/>
              <w:rPr>
                <w:sz w:val="21"/>
                <w:szCs w:val="21"/>
                <w:lang w:val="fr-CH"/>
              </w:rPr>
            </w:pPr>
            <w:r>
              <w:rPr>
                <w:sz w:val="21"/>
                <w:szCs w:val="21"/>
                <w:lang w:val="fr-CH"/>
              </w:rPr>
              <w:t>P</w:t>
            </w:r>
            <w:r w:rsidRPr="007D5A4C">
              <w:rPr>
                <w:sz w:val="21"/>
                <w:szCs w:val="21"/>
                <w:lang w:val="fr-CH"/>
              </w:rPr>
              <w:t>rix</w:t>
            </w:r>
            <w:r>
              <w:rPr>
                <w:sz w:val="21"/>
                <w:szCs w:val="21"/>
                <w:lang w:val="fr-CH"/>
              </w:rPr>
              <w:t xml:space="preserve"> de l’offre retenue </w:t>
            </w:r>
          </w:p>
        </w:tc>
        <w:tc>
          <w:tcPr>
            <w:tcW w:w="6576" w:type="dxa"/>
          </w:tcPr>
          <w:p w14:paraId="536D4A07" w14:textId="0C1E3C7C" w:rsidR="00801289" w:rsidRPr="007D5A4C" w:rsidRDefault="00801289" w:rsidP="00D43584">
            <w:pPr>
              <w:pStyle w:val="AufzhlungNumm2CDB"/>
              <w:numPr>
                <w:ilvl w:val="0"/>
                <w:numId w:val="0"/>
              </w:numPr>
              <w:tabs>
                <w:tab w:val="left" w:pos="708"/>
              </w:tabs>
              <w:spacing w:after="60" w:line="240" w:lineRule="auto"/>
              <w:rPr>
                <w:color w:val="FF0000"/>
                <w:sz w:val="21"/>
                <w:szCs w:val="21"/>
                <w:lang w:val="fr-CH"/>
              </w:rPr>
            </w:pPr>
            <w:r w:rsidRPr="007D5A4C">
              <w:rPr>
                <w:color w:val="FF0000"/>
                <w:sz w:val="21"/>
                <w:szCs w:val="21"/>
                <w:lang w:val="fr-CH"/>
              </w:rPr>
              <w:t>500</w:t>
            </w:r>
            <w:r>
              <w:rPr>
                <w:color w:val="FF0000"/>
                <w:sz w:val="21"/>
                <w:szCs w:val="21"/>
                <w:lang w:val="fr-CH"/>
              </w:rPr>
              <w:t>’</w:t>
            </w:r>
            <w:r w:rsidRPr="007D5A4C">
              <w:rPr>
                <w:color w:val="FF0000"/>
                <w:sz w:val="21"/>
                <w:szCs w:val="21"/>
                <w:lang w:val="fr-CH"/>
              </w:rPr>
              <w:t>000 CHF</w:t>
            </w:r>
          </w:p>
        </w:tc>
      </w:tr>
      <w:tr w:rsidR="00A91910" w:rsidRPr="007D5A4C" w14:paraId="109CBF23" w14:textId="77777777" w:rsidTr="009C0372">
        <w:tc>
          <w:tcPr>
            <w:tcW w:w="2694" w:type="dxa"/>
          </w:tcPr>
          <w:p w14:paraId="0B27B75F" w14:textId="5220A55E" w:rsidR="00A91910" w:rsidRPr="007D5A4C" w:rsidRDefault="00801289" w:rsidP="009C0372">
            <w:pPr>
              <w:pStyle w:val="AufzhlungNumm2CDB"/>
              <w:numPr>
                <w:ilvl w:val="0"/>
                <w:numId w:val="0"/>
              </w:numPr>
              <w:tabs>
                <w:tab w:val="left" w:pos="708"/>
                <w:tab w:val="left" w:pos="2128"/>
              </w:tabs>
              <w:spacing w:after="60" w:line="240" w:lineRule="auto"/>
              <w:ind w:right="399"/>
              <w:rPr>
                <w:sz w:val="21"/>
                <w:szCs w:val="21"/>
                <w:lang w:val="fr-CH"/>
              </w:rPr>
            </w:pPr>
            <w:r w:rsidRPr="00981825">
              <w:rPr>
                <w:b/>
                <w:bCs/>
                <w:sz w:val="21"/>
                <w:szCs w:val="21"/>
                <w:lang w:val="fr-CH"/>
              </w:rPr>
              <w:t>Décision</w:t>
            </w:r>
            <w:r w:rsidR="006D5486">
              <w:rPr>
                <w:b/>
                <w:bCs/>
                <w:sz w:val="21"/>
                <w:szCs w:val="21"/>
                <w:lang w:val="fr-CH"/>
              </w:rPr>
              <w:t xml:space="preserve"> </w:t>
            </w:r>
            <w:r w:rsidR="006D5486">
              <w:rPr>
                <w:b/>
                <w:bCs/>
                <w:sz w:val="21"/>
                <w:szCs w:val="21"/>
                <w:lang w:val="fr-CH"/>
              </w:rPr>
              <w:br/>
            </w:r>
            <w:r w:rsidRPr="00981825">
              <w:rPr>
                <w:b/>
                <w:bCs/>
                <w:sz w:val="21"/>
                <w:szCs w:val="21"/>
                <w:lang w:val="fr-CH"/>
              </w:rPr>
              <w:t>d’adjudication</w:t>
            </w:r>
          </w:p>
        </w:tc>
        <w:tc>
          <w:tcPr>
            <w:tcW w:w="6576" w:type="dxa"/>
          </w:tcPr>
          <w:p w14:paraId="0DB26A17" w14:textId="5ECA25EF" w:rsidR="00A91910" w:rsidRPr="007D5A4C" w:rsidRDefault="00A91910" w:rsidP="00D43584">
            <w:pPr>
              <w:pStyle w:val="AufzhlungNumm2CDB"/>
              <w:numPr>
                <w:ilvl w:val="0"/>
                <w:numId w:val="0"/>
              </w:numPr>
              <w:tabs>
                <w:tab w:val="left" w:pos="708"/>
              </w:tabs>
              <w:spacing w:after="60" w:line="240" w:lineRule="auto"/>
              <w:rPr>
                <w:color w:val="FF0000"/>
                <w:sz w:val="21"/>
                <w:szCs w:val="21"/>
                <w:lang w:val="fr-CH"/>
              </w:rPr>
            </w:pPr>
          </w:p>
        </w:tc>
      </w:tr>
      <w:tr w:rsidR="000530B4" w:rsidRPr="006D5486" w14:paraId="0E42753A" w14:textId="77777777" w:rsidTr="009C0372">
        <w:tc>
          <w:tcPr>
            <w:tcW w:w="2694" w:type="dxa"/>
          </w:tcPr>
          <w:p w14:paraId="2D0AED2A" w14:textId="77777777" w:rsidR="000530B4" w:rsidRPr="007D5A4C" w:rsidRDefault="000530B4" w:rsidP="00892057">
            <w:pPr>
              <w:pStyle w:val="AufzhlungNumm2CDB"/>
              <w:numPr>
                <w:ilvl w:val="0"/>
                <w:numId w:val="0"/>
              </w:numPr>
              <w:tabs>
                <w:tab w:val="left" w:pos="708"/>
              </w:tabs>
              <w:spacing w:after="60" w:line="240" w:lineRule="auto"/>
              <w:ind w:right="399"/>
              <w:jc w:val="left"/>
              <w:rPr>
                <w:sz w:val="21"/>
                <w:szCs w:val="21"/>
                <w:lang w:val="fr-CH"/>
              </w:rPr>
            </w:pPr>
            <w:r w:rsidRPr="007D5A4C">
              <w:rPr>
                <w:sz w:val="21"/>
                <w:szCs w:val="21"/>
                <w:lang w:val="fr-CH"/>
              </w:rPr>
              <w:t>Motifs de la décision d’adjudication</w:t>
            </w:r>
          </w:p>
        </w:tc>
        <w:tc>
          <w:tcPr>
            <w:tcW w:w="6576" w:type="dxa"/>
          </w:tcPr>
          <w:p w14:paraId="17393C4D" w14:textId="77777777" w:rsidR="000530B4" w:rsidRPr="007D5A4C" w:rsidRDefault="000530B4" w:rsidP="006A559D">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Les caractéristiques et avantages de l’offre (art. 51, al. 3, lit. c AIMP) ayant motivé l’adjudication sont les suivants : </w:t>
            </w:r>
          </w:p>
          <w:p w14:paraId="09CB19DC" w14:textId="77777777" w:rsidR="000530B4" w:rsidRPr="007D5A4C" w:rsidRDefault="000530B4" w:rsidP="00F7127D">
            <w:pPr>
              <w:pStyle w:val="AufzhlungNumm2CDB"/>
              <w:numPr>
                <w:ilvl w:val="0"/>
                <w:numId w:val="0"/>
              </w:numPr>
              <w:tabs>
                <w:tab w:val="left" w:pos="708"/>
              </w:tabs>
              <w:spacing w:after="60" w:line="240" w:lineRule="auto"/>
              <w:rPr>
                <w:sz w:val="21"/>
                <w:szCs w:val="21"/>
                <w:lang w:val="fr-CH"/>
              </w:rPr>
            </w:pPr>
            <w:r>
              <w:rPr>
                <w:sz w:val="21"/>
                <w:szCs w:val="21"/>
                <w:lang w:val="fr-CH"/>
              </w:rPr>
              <w:t>Concernant les</w:t>
            </w:r>
            <w:r w:rsidRPr="007D5A4C">
              <w:rPr>
                <w:sz w:val="21"/>
                <w:szCs w:val="21"/>
                <w:lang w:val="fr-CH"/>
              </w:rPr>
              <w:t xml:space="preserve"> critères d’adjudication, l’offre retenue a obtenu </w:t>
            </w:r>
            <w:r w:rsidRPr="009C0372">
              <w:rPr>
                <w:color w:val="FF0000"/>
                <w:sz w:val="21"/>
                <w:szCs w:val="21"/>
                <w:lang w:val="fr-CH"/>
              </w:rPr>
              <w:t>900</w:t>
            </w:r>
            <w:r w:rsidRPr="007D5A4C">
              <w:rPr>
                <w:sz w:val="21"/>
                <w:szCs w:val="21"/>
                <w:lang w:val="fr-CH"/>
              </w:rPr>
              <w:t xml:space="preserve"> points sur </w:t>
            </w:r>
            <w:r w:rsidRPr="009C0372">
              <w:rPr>
                <w:color w:val="FF0000"/>
                <w:sz w:val="21"/>
                <w:szCs w:val="21"/>
                <w:lang w:val="fr-CH"/>
              </w:rPr>
              <w:t>1000</w:t>
            </w:r>
            <w:r w:rsidRPr="007D5A4C">
              <w:rPr>
                <w:sz w:val="21"/>
                <w:szCs w:val="21"/>
                <w:lang w:val="fr-CH"/>
              </w:rPr>
              <w:t xml:space="preserve">, soit plus que tous les soumissionnaires invités à déposer une offre. Cette offre étant la plus avantageuse, le marché doit lui être adjugé. </w:t>
            </w:r>
          </w:p>
          <w:p w14:paraId="4FABD620" w14:textId="77777777" w:rsidR="000530B4" w:rsidRPr="007D5A4C" w:rsidRDefault="000530B4">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Elle est la deuxième en </w:t>
            </w:r>
            <w:r>
              <w:rPr>
                <w:sz w:val="21"/>
                <w:szCs w:val="21"/>
                <w:lang w:val="fr-CH"/>
              </w:rPr>
              <w:t>matière</w:t>
            </w:r>
            <w:r w:rsidRPr="007D5A4C">
              <w:rPr>
                <w:sz w:val="21"/>
                <w:szCs w:val="21"/>
                <w:lang w:val="fr-CH"/>
              </w:rPr>
              <w:t xml:space="preserve"> de prix, présente de grandes capacités et répond largement aux exigences de durabilité</w:t>
            </w:r>
            <w:r w:rsidRPr="007D5A4C">
              <w:rPr>
                <w:color w:val="EA161F" w:themeColor="accent6"/>
                <w:sz w:val="21"/>
                <w:szCs w:val="21"/>
                <w:lang w:val="fr-CH"/>
              </w:rPr>
              <w:t>.</w:t>
            </w:r>
          </w:p>
        </w:tc>
      </w:tr>
      <w:tr w:rsidR="000530B4" w:rsidRPr="006D5486" w14:paraId="6FD3C64D" w14:textId="77777777" w:rsidTr="009C0372">
        <w:tc>
          <w:tcPr>
            <w:tcW w:w="2694" w:type="dxa"/>
          </w:tcPr>
          <w:p w14:paraId="2B5C8865" w14:textId="67126B54" w:rsidR="000530B4" w:rsidRPr="007D5A4C" w:rsidRDefault="000530B4" w:rsidP="00892057">
            <w:pPr>
              <w:pStyle w:val="AufzhlungNumm2CDB"/>
              <w:numPr>
                <w:ilvl w:val="0"/>
                <w:numId w:val="0"/>
              </w:numPr>
              <w:tabs>
                <w:tab w:val="left" w:pos="708"/>
              </w:tabs>
              <w:spacing w:after="60" w:line="240" w:lineRule="auto"/>
              <w:ind w:right="399"/>
              <w:jc w:val="left"/>
              <w:rPr>
                <w:sz w:val="21"/>
                <w:szCs w:val="21"/>
                <w:lang w:val="fr-CH"/>
              </w:rPr>
            </w:pPr>
            <w:r w:rsidRPr="007D5A4C">
              <w:rPr>
                <w:sz w:val="21"/>
                <w:szCs w:val="21"/>
                <w:lang w:val="fr-CH"/>
              </w:rPr>
              <w:t>Voie</w:t>
            </w:r>
            <w:r w:rsidR="00801289">
              <w:rPr>
                <w:sz w:val="21"/>
                <w:szCs w:val="21"/>
                <w:lang w:val="fr-CH"/>
              </w:rPr>
              <w:t>s</w:t>
            </w:r>
            <w:r w:rsidRPr="007D5A4C">
              <w:rPr>
                <w:sz w:val="21"/>
                <w:szCs w:val="21"/>
                <w:lang w:val="fr-CH"/>
              </w:rPr>
              <w:t xml:space="preserve"> de droit</w:t>
            </w:r>
          </w:p>
        </w:tc>
        <w:tc>
          <w:tcPr>
            <w:tcW w:w="6576" w:type="dxa"/>
          </w:tcPr>
          <w:p w14:paraId="17E964FC" w14:textId="77777777" w:rsidR="000530B4" w:rsidRPr="007D5A4C" w:rsidRDefault="000530B4" w:rsidP="00011E71">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La présente décision peut, dans un délai de 20 jours à compter de sa publication, faire l’objet d’un recours auprès de </w:t>
            </w:r>
            <w:r>
              <w:rPr>
                <w:color w:val="FF0000"/>
                <w:sz w:val="21"/>
                <w:szCs w:val="21"/>
                <w:lang w:val="fr-CH"/>
              </w:rPr>
              <w:t>nom</w:t>
            </w:r>
            <w:r w:rsidRPr="007D5A4C">
              <w:rPr>
                <w:color w:val="FF0000"/>
                <w:sz w:val="21"/>
                <w:szCs w:val="21"/>
                <w:lang w:val="fr-CH"/>
              </w:rPr>
              <w:t xml:space="preserve"> et adresse de l’instance de recours</w:t>
            </w:r>
            <w:r w:rsidRPr="007D5A4C">
              <w:rPr>
                <w:sz w:val="21"/>
                <w:szCs w:val="21"/>
                <w:lang w:val="fr-CH"/>
              </w:rPr>
              <w:t xml:space="preserve">. </w:t>
            </w:r>
            <w:r>
              <w:rPr>
                <w:sz w:val="21"/>
                <w:szCs w:val="21"/>
                <w:lang w:val="fr-CH"/>
              </w:rPr>
              <w:t>Tout</w:t>
            </w:r>
            <w:r w:rsidRPr="007D5A4C">
              <w:rPr>
                <w:sz w:val="21"/>
                <w:szCs w:val="21"/>
                <w:lang w:val="fr-CH"/>
              </w:rPr>
              <w:t xml:space="preserve"> recours doit </w:t>
            </w:r>
            <w:r>
              <w:rPr>
                <w:sz w:val="21"/>
                <w:szCs w:val="21"/>
                <w:lang w:val="fr-CH"/>
              </w:rPr>
              <w:t>présenter</w:t>
            </w:r>
            <w:r w:rsidRPr="007D5A4C">
              <w:rPr>
                <w:sz w:val="21"/>
                <w:szCs w:val="21"/>
                <w:lang w:val="fr-CH"/>
              </w:rPr>
              <w:t xml:space="preserve"> </w:t>
            </w:r>
            <w:r>
              <w:rPr>
                <w:sz w:val="21"/>
                <w:szCs w:val="21"/>
                <w:lang w:val="fr-CH"/>
              </w:rPr>
              <w:t>d</w:t>
            </w:r>
            <w:r w:rsidRPr="007D5A4C">
              <w:rPr>
                <w:sz w:val="21"/>
                <w:szCs w:val="21"/>
                <w:lang w:val="fr-CH"/>
              </w:rPr>
              <w:t>es conclusions, indi</w:t>
            </w:r>
            <w:r>
              <w:rPr>
                <w:sz w:val="21"/>
                <w:szCs w:val="21"/>
                <w:lang w:val="fr-CH"/>
              </w:rPr>
              <w:t>quer</w:t>
            </w:r>
            <w:r w:rsidRPr="007D5A4C">
              <w:rPr>
                <w:sz w:val="21"/>
                <w:szCs w:val="21"/>
                <w:lang w:val="fr-CH"/>
              </w:rPr>
              <w:t xml:space="preserve"> </w:t>
            </w:r>
            <w:r>
              <w:rPr>
                <w:sz w:val="21"/>
                <w:szCs w:val="21"/>
                <w:lang w:val="fr-CH"/>
              </w:rPr>
              <w:t>l</w:t>
            </w:r>
            <w:r w:rsidRPr="007D5A4C">
              <w:rPr>
                <w:sz w:val="21"/>
                <w:szCs w:val="21"/>
                <w:lang w:val="fr-CH"/>
              </w:rPr>
              <w:t xml:space="preserve">es faits, les moyens de preuve et les motifs et porter une signature. Cette publication et les moyens de preuve disponibles doivent </w:t>
            </w:r>
            <w:r>
              <w:rPr>
                <w:sz w:val="21"/>
                <w:szCs w:val="21"/>
                <w:lang w:val="fr-CH"/>
              </w:rPr>
              <w:t>lui</w:t>
            </w:r>
            <w:r w:rsidRPr="007D5A4C">
              <w:rPr>
                <w:sz w:val="21"/>
                <w:szCs w:val="21"/>
                <w:lang w:val="fr-CH"/>
              </w:rPr>
              <w:t xml:space="preserve"> être joints.</w:t>
            </w:r>
          </w:p>
        </w:tc>
      </w:tr>
    </w:tbl>
    <w:p w14:paraId="2A6B5F00" w14:textId="77777777" w:rsidR="006A559D" w:rsidRPr="007D5A4C" w:rsidRDefault="006A559D" w:rsidP="006A559D">
      <w:pPr>
        <w:pStyle w:val="TextkrperBlau"/>
        <w:rPr>
          <w:b/>
          <w:sz w:val="21"/>
          <w:szCs w:val="21"/>
          <w:lang w:val="fr-CH"/>
        </w:rPr>
      </w:pPr>
    </w:p>
    <w:p w14:paraId="7428538C" w14:textId="77777777" w:rsidR="00E23FD3" w:rsidRPr="007D5A4C" w:rsidRDefault="00E23FD3" w:rsidP="006A559D">
      <w:pPr>
        <w:pStyle w:val="TextkrperBlau"/>
        <w:rPr>
          <w:b/>
          <w:sz w:val="21"/>
          <w:szCs w:val="21"/>
          <w:lang w:val="fr-CH"/>
        </w:rPr>
      </w:pPr>
    </w:p>
    <w:sectPr w:rsidR="00E23FD3" w:rsidRPr="007D5A4C"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64D4" w14:textId="77777777" w:rsidR="00377A80" w:rsidRDefault="00377A80">
      <w:pPr>
        <w:spacing w:line="240" w:lineRule="auto"/>
      </w:pPr>
      <w:r>
        <w:separator/>
      </w:r>
    </w:p>
  </w:endnote>
  <w:endnote w:type="continuationSeparator" w:id="0">
    <w:p w14:paraId="02ABC105"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F927" w14:textId="77777777" w:rsidR="007E2DD7"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14:anchorId="504D1FEF" wp14:editId="39CEF3A9">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7BBE7" w14:textId="77777777" w:rsidR="007E2DD7" w:rsidRPr="005C6148" w:rsidRDefault="00BE71A5" w:rsidP="0007095A">
                          <w:pPr>
                            <w:pStyle w:val="Seitenzahlen"/>
                          </w:pPr>
                          <w:r w:rsidRPr="005C6148">
                            <w:fldChar w:fldCharType="begin"/>
                          </w:r>
                          <w:r w:rsidRPr="005C6148">
                            <w:instrText>PAGE   \* MERGEFORMAT</w:instrText>
                          </w:r>
                          <w:r w:rsidRPr="005C6148">
                            <w:fldChar w:fldCharType="separate"/>
                          </w:r>
                          <w:r w:rsidR="006319CB" w:rsidRPr="006319CB">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04D1FEF"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2BF7BBE7" w14:textId="77777777" w:rsidR="007E2DD7" w:rsidRPr="005C6148" w:rsidRDefault="00BE71A5" w:rsidP="0007095A">
                    <w:pPr>
                      <w:pStyle w:val="Seitenzahlen"/>
                    </w:pPr>
                    <w:r w:rsidRPr="005C6148">
                      <w:fldChar w:fldCharType="begin"/>
                    </w:r>
                    <w:r w:rsidRPr="005C6148">
                      <w:instrText>PAGE   \* MERGEFORMAT</w:instrText>
                    </w:r>
                    <w:r w:rsidRPr="005C6148">
                      <w:fldChar w:fldCharType="separate"/>
                    </w:r>
                    <w:r w:rsidR="006319CB" w:rsidRPr="006319CB">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F2FD" w14:textId="1FDB211C" w:rsidR="007E2DD7" w:rsidRPr="003C4D36" w:rsidRDefault="00BE71A5" w:rsidP="00DC1127">
    <w:pPr>
      <w:tabs>
        <w:tab w:val="left" w:pos="2552"/>
        <w:tab w:val="left" w:pos="5103"/>
        <w:tab w:val="left" w:pos="7655"/>
        <w:tab w:val="right" w:pos="9979"/>
      </w:tabs>
      <w:spacing w:line="240" w:lineRule="auto"/>
      <w:jc w:val="center"/>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03DBC025" wp14:editId="20670A0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72C32" w14:textId="77777777" w:rsidR="007E2DD7" w:rsidRPr="005C6148" w:rsidRDefault="00BE71A5" w:rsidP="0075237B">
                          <w:pPr>
                            <w:pStyle w:val="Seitenzahlen"/>
                          </w:pPr>
                          <w:r w:rsidRPr="005C6148">
                            <w:fldChar w:fldCharType="begin"/>
                          </w:r>
                          <w:r w:rsidRPr="005C6148">
                            <w:instrText>PAGE   \* MERGEFORMAT</w:instrText>
                          </w:r>
                          <w:r w:rsidRPr="005C6148">
                            <w:fldChar w:fldCharType="separate"/>
                          </w:r>
                          <w:r w:rsidR="006319CB" w:rsidRPr="006319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3DBC025"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7272C32" w14:textId="77777777" w:rsidR="007E2DD7" w:rsidRPr="005C6148" w:rsidRDefault="00BE71A5" w:rsidP="0075237B">
                    <w:pPr>
                      <w:pStyle w:val="Seitenzahlen"/>
                    </w:pPr>
                    <w:r w:rsidRPr="005C6148">
                      <w:fldChar w:fldCharType="begin"/>
                    </w:r>
                    <w:r w:rsidRPr="005C6148">
                      <w:instrText>PAGE   \* MERGEFORMAT</w:instrText>
                    </w:r>
                    <w:r w:rsidRPr="005C6148">
                      <w:fldChar w:fldCharType="separate"/>
                    </w:r>
                    <w:r w:rsidR="006319CB" w:rsidRPr="006319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v:textbox>
              <w10:wrap anchorx="margin" anchory="page"/>
              <w10:anchorlock/>
            </v:shape>
          </w:pict>
        </mc:Fallback>
      </mc:AlternateContent>
    </w:r>
    <w:r w:rsidR="00A91910">
      <w:rPr>
        <w:rFonts w:ascii="Arial" w:eastAsia="Arial" w:hAnsi="Arial"/>
        <w:sz w:val="13"/>
        <w:szCs w:val="13"/>
      </w:rPr>
      <w:t xml:space="preserve">Juli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E263" w14:textId="77777777" w:rsidR="00377A80" w:rsidRDefault="00377A80">
      <w:pPr>
        <w:spacing w:line="240" w:lineRule="auto"/>
      </w:pPr>
      <w:r>
        <w:separator/>
      </w:r>
    </w:p>
  </w:footnote>
  <w:footnote w:type="continuationSeparator" w:id="0">
    <w:p w14:paraId="07A71D41"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5C17D46F" w14:textId="77777777" w:rsidTr="00840B34">
      <w:tc>
        <w:tcPr>
          <w:tcW w:w="5100" w:type="dxa"/>
        </w:tcPr>
        <w:p w14:paraId="55D422DB" w14:textId="77777777" w:rsidR="007E2DD7" w:rsidRPr="00D5069D" w:rsidRDefault="007E2DD7" w:rsidP="00840B34">
          <w:pPr>
            <w:pStyle w:val="Kopfzeile"/>
            <w:rPr>
              <w:color w:val="FFFFFF" w:themeColor="background1"/>
            </w:rPr>
          </w:pPr>
        </w:p>
        <w:p w14:paraId="464A100A" w14:textId="77777777" w:rsidR="007E2DD7" w:rsidRPr="00832D99" w:rsidRDefault="007E2DD7" w:rsidP="00840B34">
          <w:pPr>
            <w:pStyle w:val="Kopfzeile"/>
          </w:pPr>
        </w:p>
      </w:tc>
      <w:tc>
        <w:tcPr>
          <w:tcW w:w="4878" w:type="dxa"/>
        </w:tcPr>
        <w:p w14:paraId="2256195D" w14:textId="77777777" w:rsidR="007E2DD7" w:rsidRPr="00832D99" w:rsidRDefault="007E2DD7" w:rsidP="00840B34">
          <w:pPr>
            <w:pStyle w:val="Kopfzeile"/>
          </w:pPr>
        </w:p>
      </w:tc>
    </w:tr>
  </w:tbl>
  <w:p w14:paraId="193D8363" w14:textId="77777777" w:rsidR="007E2DD7" w:rsidRPr="0039616D" w:rsidRDefault="00BE71A5" w:rsidP="00D5069D">
    <w:pPr>
      <w:pStyle w:val="Kopfzeile"/>
    </w:pPr>
    <w:r w:rsidRPr="00B0249E">
      <w:drawing>
        <wp:anchor distT="0" distB="0" distL="114300" distR="114300" simplePos="0" relativeHeight="251663360" behindDoc="0" locked="1" layoutInCell="1" allowOverlap="1" wp14:anchorId="067831A1" wp14:editId="4C14AD67">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03DB" w14:textId="77777777" w:rsidR="007E2DD7" w:rsidRDefault="00BE71A5" w:rsidP="000822A6">
    <w:pPr>
      <w:pStyle w:val="Kopfzeile"/>
      <w:jc w:val="right"/>
    </w:pPr>
    <w:r>
      <w:drawing>
        <wp:anchor distT="0" distB="0" distL="114300" distR="114300" simplePos="0" relativeHeight="251660288" behindDoc="0" locked="1" layoutInCell="1" allowOverlap="1" wp14:anchorId="53665A15" wp14:editId="189AC09B">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400905320">
    <w:abstractNumId w:val="9"/>
  </w:num>
  <w:num w:numId="2" w16cid:durableId="662584661">
    <w:abstractNumId w:val="7"/>
  </w:num>
  <w:num w:numId="3" w16cid:durableId="232394323">
    <w:abstractNumId w:val="6"/>
  </w:num>
  <w:num w:numId="4" w16cid:durableId="2047485570">
    <w:abstractNumId w:val="5"/>
  </w:num>
  <w:num w:numId="5" w16cid:durableId="925265280">
    <w:abstractNumId w:val="4"/>
  </w:num>
  <w:num w:numId="6" w16cid:durableId="79644000">
    <w:abstractNumId w:val="8"/>
  </w:num>
  <w:num w:numId="7" w16cid:durableId="658995663">
    <w:abstractNumId w:val="3"/>
  </w:num>
  <w:num w:numId="8" w16cid:durableId="446193798">
    <w:abstractNumId w:val="2"/>
  </w:num>
  <w:num w:numId="9" w16cid:durableId="830752033">
    <w:abstractNumId w:val="1"/>
  </w:num>
  <w:num w:numId="10" w16cid:durableId="520818045">
    <w:abstractNumId w:val="0"/>
  </w:num>
  <w:num w:numId="11" w16cid:durableId="1868718264">
    <w:abstractNumId w:val="24"/>
  </w:num>
  <w:num w:numId="12" w16cid:durableId="1132750801">
    <w:abstractNumId w:val="18"/>
  </w:num>
  <w:num w:numId="13" w16cid:durableId="1103185527">
    <w:abstractNumId w:val="14"/>
  </w:num>
  <w:num w:numId="14" w16cid:durableId="1120681152">
    <w:abstractNumId w:val="26"/>
  </w:num>
  <w:num w:numId="15" w16cid:durableId="687222640">
    <w:abstractNumId w:val="25"/>
  </w:num>
  <w:num w:numId="16" w16cid:durableId="592319622">
    <w:abstractNumId w:val="10"/>
  </w:num>
  <w:num w:numId="17" w16cid:durableId="1135832107">
    <w:abstractNumId w:val="16"/>
  </w:num>
  <w:num w:numId="18" w16cid:durableId="8994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604231">
    <w:abstractNumId w:val="23"/>
  </w:num>
  <w:num w:numId="20" w16cid:durableId="1465346548">
    <w:abstractNumId w:val="13"/>
  </w:num>
  <w:num w:numId="21" w16cid:durableId="966466671">
    <w:abstractNumId w:val="21"/>
  </w:num>
  <w:num w:numId="22" w16cid:durableId="1262640910">
    <w:abstractNumId w:val="20"/>
  </w:num>
  <w:num w:numId="23" w16cid:durableId="314841950">
    <w:abstractNumId w:val="12"/>
  </w:num>
  <w:num w:numId="24" w16cid:durableId="1687705443">
    <w:abstractNumId w:val="17"/>
  </w:num>
  <w:num w:numId="25" w16cid:durableId="666594580">
    <w:abstractNumId w:val="22"/>
  </w:num>
  <w:num w:numId="26" w16cid:durableId="861943877">
    <w:abstractNumId w:val="11"/>
  </w:num>
  <w:num w:numId="27" w16cid:durableId="547494912">
    <w:abstractNumId w:val="19"/>
  </w:num>
  <w:num w:numId="28" w16cid:durableId="1507280192">
    <w:abstractNumId w:val="19"/>
    <w:lvlOverride w:ilvl="0">
      <w:startOverride w:val="1"/>
    </w:lvlOverride>
  </w:num>
  <w:num w:numId="29" w16cid:durableId="1759599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5957617">
    <w:abstractNumId w:val="15"/>
  </w:num>
  <w:num w:numId="31" w16cid:durableId="5838002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68624">
    <w:abstractNumId w:val="19"/>
  </w:num>
  <w:num w:numId="33" w16cid:durableId="1599211580">
    <w:abstractNumId w:val="19"/>
  </w:num>
  <w:num w:numId="34" w16cid:durableId="658970241">
    <w:abstractNumId w:val="19"/>
  </w:num>
  <w:num w:numId="35" w16cid:durableId="773011739">
    <w:abstractNumId w:val="19"/>
  </w:num>
  <w:num w:numId="36" w16cid:durableId="251207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11E71"/>
    <w:rsid w:val="000122DC"/>
    <w:rsid w:val="000530B4"/>
    <w:rsid w:val="00055D69"/>
    <w:rsid w:val="00096124"/>
    <w:rsid w:val="000A17F3"/>
    <w:rsid w:val="000D2B57"/>
    <w:rsid w:val="00121693"/>
    <w:rsid w:val="00122A30"/>
    <w:rsid w:val="00127333"/>
    <w:rsid w:val="001601FB"/>
    <w:rsid w:val="00166D8E"/>
    <w:rsid w:val="001B64DD"/>
    <w:rsid w:val="001C5171"/>
    <w:rsid w:val="0023651C"/>
    <w:rsid w:val="00250258"/>
    <w:rsid w:val="002560BD"/>
    <w:rsid w:val="00326ABA"/>
    <w:rsid w:val="003569AB"/>
    <w:rsid w:val="00377A80"/>
    <w:rsid w:val="003A34A4"/>
    <w:rsid w:val="003C6AB0"/>
    <w:rsid w:val="003D7238"/>
    <w:rsid w:val="003F0212"/>
    <w:rsid w:val="0040275D"/>
    <w:rsid w:val="00404A84"/>
    <w:rsid w:val="00406A6E"/>
    <w:rsid w:val="004155D7"/>
    <w:rsid w:val="00436D1A"/>
    <w:rsid w:val="0045291C"/>
    <w:rsid w:val="004A37E1"/>
    <w:rsid w:val="004B35CE"/>
    <w:rsid w:val="004C3DF5"/>
    <w:rsid w:val="004D1A56"/>
    <w:rsid w:val="004E24CC"/>
    <w:rsid w:val="00537C59"/>
    <w:rsid w:val="005405B1"/>
    <w:rsid w:val="00564F92"/>
    <w:rsid w:val="00567031"/>
    <w:rsid w:val="00571395"/>
    <w:rsid w:val="00576D1F"/>
    <w:rsid w:val="005C5A59"/>
    <w:rsid w:val="005D7BBF"/>
    <w:rsid w:val="005E005D"/>
    <w:rsid w:val="005F2D60"/>
    <w:rsid w:val="0060511C"/>
    <w:rsid w:val="00606BFD"/>
    <w:rsid w:val="00625E99"/>
    <w:rsid w:val="006319CB"/>
    <w:rsid w:val="006A559D"/>
    <w:rsid w:val="006B1CCD"/>
    <w:rsid w:val="006D5486"/>
    <w:rsid w:val="00707DB1"/>
    <w:rsid w:val="00726B04"/>
    <w:rsid w:val="00732F3D"/>
    <w:rsid w:val="00734164"/>
    <w:rsid w:val="00773FE4"/>
    <w:rsid w:val="007876E2"/>
    <w:rsid w:val="007C1359"/>
    <w:rsid w:val="007C14FC"/>
    <w:rsid w:val="007D5A4C"/>
    <w:rsid w:val="007E2DD7"/>
    <w:rsid w:val="007F7ACD"/>
    <w:rsid w:val="00801289"/>
    <w:rsid w:val="00833E7B"/>
    <w:rsid w:val="00835CC3"/>
    <w:rsid w:val="008507FE"/>
    <w:rsid w:val="0085550B"/>
    <w:rsid w:val="008567D2"/>
    <w:rsid w:val="00860588"/>
    <w:rsid w:val="00875200"/>
    <w:rsid w:val="00892057"/>
    <w:rsid w:val="008C02B3"/>
    <w:rsid w:val="008D2923"/>
    <w:rsid w:val="009A6BF4"/>
    <w:rsid w:val="009B1A61"/>
    <w:rsid w:val="009C0372"/>
    <w:rsid w:val="009C1F13"/>
    <w:rsid w:val="00A32A1B"/>
    <w:rsid w:val="00A648AE"/>
    <w:rsid w:val="00A678BD"/>
    <w:rsid w:val="00A77CFD"/>
    <w:rsid w:val="00A91910"/>
    <w:rsid w:val="00AA18CB"/>
    <w:rsid w:val="00AA3D49"/>
    <w:rsid w:val="00AB3CAF"/>
    <w:rsid w:val="00AB4F73"/>
    <w:rsid w:val="00BB4FFC"/>
    <w:rsid w:val="00BE71A5"/>
    <w:rsid w:val="00C31AA5"/>
    <w:rsid w:val="00C71E92"/>
    <w:rsid w:val="00C74E0B"/>
    <w:rsid w:val="00C91E09"/>
    <w:rsid w:val="00D273DB"/>
    <w:rsid w:val="00D43584"/>
    <w:rsid w:val="00D7274A"/>
    <w:rsid w:val="00DC00D7"/>
    <w:rsid w:val="00DC1127"/>
    <w:rsid w:val="00DF6968"/>
    <w:rsid w:val="00E23FD3"/>
    <w:rsid w:val="00E7014A"/>
    <w:rsid w:val="00E71A40"/>
    <w:rsid w:val="00E76DCA"/>
    <w:rsid w:val="00EA0103"/>
    <w:rsid w:val="00EB064E"/>
    <w:rsid w:val="00EB2E32"/>
    <w:rsid w:val="00F57D9A"/>
    <w:rsid w:val="00F7127D"/>
    <w:rsid w:val="00F7318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3FE32"/>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 w:type="paragraph" w:styleId="berarbeitung">
    <w:name w:val="Revision"/>
    <w:hidden/>
    <w:uiPriority w:val="99"/>
    <w:semiHidden/>
    <w:rsid w:val="005D7BBF"/>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105854855">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 w:id="21132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F5E36BE-4743-4349-A51F-4CD343C13DA5}">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44952a7d-7ef1-4336-aa62-ac977ab7aed7"/>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3.xml><?xml version="1.0" encoding="utf-8"?>
<ds:datastoreItem xmlns:ds="http://schemas.openxmlformats.org/officeDocument/2006/customXml" ds:itemID="{F0E0D641-3317-403A-BF3F-99F106696F00}">
  <ds:schemaRefs>
    <ds:schemaRef ds:uri="http://schemas.microsoft.com/sharepoint/events"/>
  </ds:schemaRefs>
</ds:datastoreItem>
</file>

<file path=customXml/itemProps4.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6AA38D-EE7B-4A1D-BE2D-8D5F428C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2395</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Tormen Denise, FIN-KAIO-RB-R</cp:lastModifiedBy>
  <cp:revision>8</cp:revision>
  <cp:lastPrinted>2019-09-11T20:00:00Z</cp:lastPrinted>
  <dcterms:created xsi:type="dcterms:W3CDTF">2025-04-22T09:23:00Z</dcterms:created>
  <dcterms:modified xsi:type="dcterms:W3CDTF">2025-07-29T13:30:00Z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2025-04-16T13:01:46Z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68957c3a-1a3c-40bc-842d-03f509bcfbca</vt:lpwstr>
  </property>
  <property fmtid="{D5CDD505-2E9C-101B-9397-08002B2CF9AE}" pid="12" name="MSIP_Label_74fdd986-87d9-48c6-acda-407b1ab5fef0_ContentBits">
    <vt:lpwstr>0</vt:lpwstr>
  </property>
</Properties>
</file>