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3C85" w14:textId="77777777" w:rsidR="00BE1DDD" w:rsidRPr="00840D76" w:rsidRDefault="00BE1DDD" w:rsidP="00BE1DDD">
      <w:pPr>
        <w:pStyle w:val="Text85pt"/>
      </w:pPr>
      <w:r>
        <w:t>Finanzdirektion</w:t>
      </w:r>
      <w:r>
        <w:br/>
        <w:t>Amt für Informatik und Organisation</w:t>
      </w:r>
    </w:p>
    <w:p w14:paraId="359C5F8F" w14:textId="77777777" w:rsidR="00BE1DDD" w:rsidRPr="00840D76" w:rsidRDefault="00BE1DDD" w:rsidP="00BE1DDD">
      <w:pPr>
        <w:pStyle w:val="Titel"/>
        <w:spacing w:before="40"/>
      </w:pPr>
    </w:p>
    <w:p w14:paraId="4B0AAEFD" w14:textId="7CABFB61" w:rsidR="00BE1DDD" w:rsidRPr="00840D76" w:rsidRDefault="00840D76" w:rsidP="00BE1DDD">
      <w:pPr>
        <w:pStyle w:val="Titel"/>
        <w:spacing w:before="40"/>
      </w:pPr>
      <w:r>
        <w:t>Anhang «Kontrolle und ISDS</w:t>
      </w:r>
      <w:r w:rsidR="00A76243">
        <w:t>»</w:t>
      </w:r>
    </w:p>
    <w:p w14:paraId="73E80908" w14:textId="77777777" w:rsidR="00840D76" w:rsidRPr="00840D76" w:rsidRDefault="00840D76" w:rsidP="00840D76">
      <w:pPr>
        <w:pStyle w:val="TextkrperTitelseite"/>
        <w:spacing w:line="300" w:lineRule="auto"/>
        <w:rPr>
          <w:lang w:val="de-CH"/>
        </w:rPr>
      </w:pPr>
      <w:r w:rsidRPr="00840D76">
        <w:rPr>
          <w:lang w:val="de-CH"/>
        </w:rPr>
        <w:t xml:space="preserve">vom </w:t>
      </w:r>
      <w:r w:rsidRPr="00840D76">
        <w:rPr>
          <w:highlight w:val="yellow"/>
          <w:lang w:val="de-CH"/>
        </w:rPr>
        <w:t>[DATUM]</w:t>
      </w:r>
    </w:p>
    <w:p w14:paraId="4EE8C575" w14:textId="0C94828C" w:rsidR="00840D76" w:rsidRPr="00840D76" w:rsidRDefault="00840D76" w:rsidP="00840D76">
      <w:pPr>
        <w:pStyle w:val="TextkrperTitelseite"/>
        <w:spacing w:line="300" w:lineRule="auto"/>
        <w:rPr>
          <w:lang w:val="de-CH"/>
        </w:rPr>
      </w:pPr>
      <w:r w:rsidRPr="00840D76">
        <w:rPr>
          <w:lang w:val="de-CH"/>
        </w:rPr>
        <w:t xml:space="preserve">zum </w:t>
      </w:r>
      <w:r w:rsidR="00F4438D">
        <w:rPr>
          <w:highlight w:val="yellow"/>
        </w:rPr>
        <w:fldChar w:fldCharType="begin">
          <w:ffData>
            <w:name w:val="Vertragsbetreff"/>
            <w:enabled/>
            <w:calcOnExit w:val="0"/>
            <w:textInput>
              <w:default w:val="(Rahmenvertrag oder Bestellung betreffend …]"/>
            </w:textInput>
          </w:ffData>
        </w:fldChar>
      </w:r>
      <w:bookmarkStart w:id="0" w:name="Vertragsbetreff"/>
      <w:r w:rsidR="00F4438D" w:rsidRPr="00F4438D">
        <w:rPr>
          <w:highlight w:val="yellow"/>
          <w:lang w:val="de-CH"/>
        </w:rPr>
        <w:instrText xml:space="preserve"> FORMTEXT </w:instrText>
      </w:r>
      <w:r w:rsidR="00F4438D">
        <w:rPr>
          <w:highlight w:val="yellow"/>
        </w:rPr>
      </w:r>
      <w:r w:rsidR="00F4438D">
        <w:rPr>
          <w:highlight w:val="yellow"/>
        </w:rPr>
        <w:fldChar w:fldCharType="separate"/>
      </w:r>
      <w:r w:rsidR="00F4438D" w:rsidRPr="00F4438D">
        <w:rPr>
          <w:noProof/>
          <w:highlight w:val="yellow"/>
          <w:lang w:val="de-CH"/>
        </w:rPr>
        <w:t>(Rahmenvertrag oder Bestellung betreffend …]</w:t>
      </w:r>
      <w:r w:rsidR="00F4438D">
        <w:rPr>
          <w:highlight w:val="yellow"/>
        </w:rPr>
        <w:fldChar w:fldCharType="end"/>
      </w:r>
      <w:bookmarkEnd w:id="0"/>
    </w:p>
    <w:p w14:paraId="52EBE781" w14:textId="77777777" w:rsidR="00840D76" w:rsidRDefault="00840D76" w:rsidP="00840D76">
      <w:pPr>
        <w:pStyle w:val="H1"/>
      </w:pPr>
      <w:bookmarkStart w:id="1" w:name="_Toc418575861"/>
      <w:r>
        <w:t>Generelle Bestimmungen</w:t>
      </w:r>
    </w:p>
    <w:p w14:paraId="3F1D1D13" w14:textId="1BC93D04" w:rsidR="00840D76" w:rsidRPr="00A32686" w:rsidRDefault="005D2249" w:rsidP="00840D76">
      <w:pPr>
        <w:pStyle w:val="berschrift2nummeriert"/>
        <w:spacing w:before="0" w:after="200" w:line="300" w:lineRule="auto"/>
      </w:pPr>
      <w:r w:rsidRPr="00A32686">
        <w:t xml:space="preserve">Aufsicht und </w:t>
      </w:r>
      <w:r w:rsidR="00840D76" w:rsidRPr="00A32686">
        <w:t>Kontrolle</w:t>
      </w:r>
    </w:p>
    <w:p w14:paraId="5AF13A3E" w14:textId="77777777" w:rsidR="00840D76" w:rsidRPr="00A32686" w:rsidRDefault="00840D76" w:rsidP="00840D76">
      <w:pPr>
        <w:pStyle w:val="berschrift3nummeriert"/>
        <w:spacing w:before="0" w:after="200" w:line="300" w:lineRule="auto"/>
      </w:pPr>
      <w:r w:rsidRPr="00A32686">
        <w:t>Kontrollrechte</w:t>
      </w:r>
    </w:p>
    <w:p w14:paraId="73543C47" w14:textId="14AAF889" w:rsidR="00840D76" w:rsidRPr="00840D76" w:rsidRDefault="00D22FFD" w:rsidP="00840D76">
      <w:pPr>
        <w:pStyle w:val="Textkrper"/>
        <w:spacing w:line="300" w:lineRule="auto"/>
        <w:rPr>
          <w:lang w:val="de-CH"/>
        </w:rPr>
      </w:pPr>
      <w:r>
        <w:rPr>
          <w:lang w:val="de-CH"/>
        </w:rPr>
        <w:t>Die</w:t>
      </w:r>
      <w:r w:rsidR="00840D76" w:rsidRPr="00840D76">
        <w:rPr>
          <w:lang w:val="de-CH"/>
        </w:rPr>
        <w:t xml:space="preserve"> Leistungserbringerin </w:t>
      </w:r>
      <w:r>
        <w:rPr>
          <w:lang w:val="de-CH"/>
        </w:rPr>
        <w:t xml:space="preserve">räumt </w:t>
      </w:r>
      <w:r w:rsidR="00840D76" w:rsidRPr="00840D76">
        <w:rPr>
          <w:lang w:val="de-CH"/>
        </w:rPr>
        <w:t xml:space="preserve">folgenden Stellen des Kantons Bern </w:t>
      </w:r>
      <w:r>
        <w:rPr>
          <w:lang w:val="de-CH"/>
        </w:rPr>
        <w:t xml:space="preserve">im Rahmen deren gesetzlichen Aufgaben </w:t>
      </w:r>
      <w:r w:rsidR="00840D76" w:rsidRPr="00840D76">
        <w:rPr>
          <w:lang w:val="de-CH"/>
        </w:rPr>
        <w:t>ein Kontrollrecht</w:t>
      </w:r>
      <w:r w:rsidR="00E91B5F">
        <w:rPr>
          <w:lang w:val="de-CH"/>
        </w:rPr>
        <w:t xml:space="preserve"> gemäss den gesetzlichen Grundlagen</w:t>
      </w:r>
      <w:r w:rsidR="00840D76" w:rsidRPr="00840D76">
        <w:rPr>
          <w:lang w:val="de-CH"/>
        </w:rPr>
        <w:t xml:space="preserve"> ein:</w:t>
      </w:r>
    </w:p>
    <w:p w14:paraId="0199753F" w14:textId="72A93BF0" w:rsidR="00840D76" w:rsidRPr="00840D76" w:rsidRDefault="00840D76" w:rsidP="00840D76">
      <w:pPr>
        <w:pStyle w:val="Aufzhlung"/>
        <w:rPr>
          <w:lang w:val="de-CH"/>
        </w:rPr>
      </w:pPr>
      <w:r w:rsidRPr="00840D76">
        <w:rPr>
          <w:lang w:val="de-CH"/>
        </w:rPr>
        <w:t xml:space="preserve">der Datenschutzaufsichtsstelle des Kantons Bern; sowie </w:t>
      </w:r>
    </w:p>
    <w:p w14:paraId="77339254" w14:textId="616D5CCC" w:rsidR="00840D76" w:rsidRPr="00840D76" w:rsidRDefault="00840D76" w:rsidP="00840D76">
      <w:pPr>
        <w:pStyle w:val="Aufzhlung"/>
        <w:rPr>
          <w:lang w:val="de-CH"/>
        </w:rPr>
      </w:pPr>
      <w:r w:rsidRPr="00840D76">
        <w:rPr>
          <w:lang w:val="de-CH"/>
        </w:rPr>
        <w:t>der Finanzkontrolle des Kantons Bern.</w:t>
      </w:r>
    </w:p>
    <w:p w14:paraId="1081934F" w14:textId="77777777" w:rsidR="00840D76" w:rsidRPr="00A32686" w:rsidRDefault="00840D76" w:rsidP="00840D76">
      <w:pPr>
        <w:pStyle w:val="berschrift3nummeriert"/>
        <w:spacing w:before="0" w:after="200" w:line="300" w:lineRule="auto"/>
      </w:pPr>
      <w:bookmarkStart w:id="2" w:name="_Toc488148809"/>
      <w:bookmarkStart w:id="3" w:name="_Toc497896666"/>
      <w:bookmarkStart w:id="4" w:name="_Toc506824387"/>
      <w:r w:rsidRPr="00A32686">
        <w:t>Audits</w:t>
      </w:r>
      <w:bookmarkEnd w:id="2"/>
      <w:bookmarkEnd w:id="3"/>
      <w:bookmarkEnd w:id="4"/>
    </w:p>
    <w:p w14:paraId="55FD0734" w14:textId="77777777" w:rsidR="00840D76" w:rsidRPr="00840D76" w:rsidRDefault="00840D76" w:rsidP="00840D76">
      <w:pPr>
        <w:pStyle w:val="Textkrper"/>
        <w:spacing w:line="300" w:lineRule="auto"/>
        <w:rPr>
          <w:highlight w:val="yellow"/>
          <w:lang w:val="de-CH"/>
        </w:rPr>
      </w:pPr>
      <w:r w:rsidRPr="00840D76">
        <w:rPr>
          <w:highlight w:val="yellow"/>
          <w:lang w:val="de-CH"/>
        </w:rPr>
        <w:t>Das KAIO kann im Zusammenhang mit den erbrachten Leistungen Audits im Bereich der Informationssicherheit, der Prozessreifegrade, des Datenschutzes und der Leistungsabrechnung durchführen lassen.</w:t>
      </w:r>
    </w:p>
    <w:p w14:paraId="670A36FF" w14:textId="77777777" w:rsidR="00840D76" w:rsidRPr="00840D76" w:rsidRDefault="00840D76" w:rsidP="00840D76">
      <w:pPr>
        <w:pStyle w:val="Textkrper"/>
        <w:spacing w:line="300" w:lineRule="auto"/>
        <w:rPr>
          <w:highlight w:val="yellow"/>
          <w:lang w:val="de-CH"/>
        </w:rPr>
      </w:pPr>
      <w:r w:rsidRPr="00840D76">
        <w:rPr>
          <w:highlight w:val="yellow"/>
          <w:lang w:val="de-CH"/>
        </w:rPr>
        <w:t>Dem KAIO obliegt die Leitung des Audits. Es bestimmt nach Anhörung der Leistungserbringerin</w:t>
      </w:r>
    </w:p>
    <w:p w14:paraId="0DECBE10" w14:textId="77777777" w:rsidR="00840D76" w:rsidRPr="00840D76" w:rsidRDefault="00840D76" w:rsidP="00840D76">
      <w:pPr>
        <w:pStyle w:val="Aufzhlung"/>
        <w:numPr>
          <w:ilvl w:val="0"/>
          <w:numId w:val="7"/>
        </w:numPr>
        <w:rPr>
          <w:highlight w:val="yellow"/>
          <w:lang w:val="de-CH"/>
        </w:rPr>
      </w:pPr>
      <w:r w:rsidRPr="00840D76">
        <w:rPr>
          <w:highlight w:val="yellow"/>
          <w:lang w:val="de-CH"/>
        </w:rPr>
        <w:t>die Auditobjekte (bspw. Prozesse, Core Services, Software, dazugehörige Datenbanken, Verfahren und Unterlagen, inkl. Dokumentation und Quellcode, Abrechnungsunterlagen),</w:t>
      </w:r>
    </w:p>
    <w:p w14:paraId="4E443518" w14:textId="77777777" w:rsidR="00840D76" w:rsidRPr="00840D76" w:rsidRDefault="00840D76" w:rsidP="00840D76">
      <w:pPr>
        <w:pStyle w:val="Aufzhlung"/>
        <w:rPr>
          <w:highlight w:val="yellow"/>
          <w:lang w:val="de-CH"/>
        </w:rPr>
      </w:pPr>
      <w:r w:rsidRPr="00840D76">
        <w:rPr>
          <w:highlight w:val="yellow"/>
          <w:lang w:val="de-CH"/>
        </w:rPr>
        <w:t>die mit dem Audit beauftragte Organisation, wobei es sich nicht um einen direkten Konkurrenten der Leistungserbringerin handeln darf, und</w:t>
      </w:r>
    </w:p>
    <w:p w14:paraId="29B5A5EC" w14:textId="77777777" w:rsidR="00840D76" w:rsidRPr="00840D76" w:rsidRDefault="00840D76" w:rsidP="00840D76">
      <w:pPr>
        <w:pStyle w:val="Aufzhlung"/>
        <w:rPr>
          <w:highlight w:val="yellow"/>
          <w:lang w:val="de-CH"/>
        </w:rPr>
      </w:pPr>
      <w:r w:rsidRPr="00840D76">
        <w:rPr>
          <w:highlight w:val="yellow"/>
          <w:lang w:val="de-CH"/>
        </w:rPr>
        <w:t>das Verfahren und die Einzelheiten des Audits.</w:t>
      </w:r>
    </w:p>
    <w:p w14:paraId="38AB1E29" w14:textId="3B034FF4" w:rsidR="00840D76" w:rsidRPr="00840D76" w:rsidRDefault="00840D76" w:rsidP="00840D76">
      <w:pPr>
        <w:pStyle w:val="Textkrper"/>
        <w:spacing w:after="200" w:line="300" w:lineRule="auto"/>
        <w:rPr>
          <w:bCs w:val="0"/>
          <w:highlight w:val="yellow"/>
          <w:lang w:val="de-CH"/>
        </w:rPr>
      </w:pPr>
      <w:r w:rsidRPr="00840D76">
        <w:rPr>
          <w:highlight w:val="yellow"/>
          <w:lang w:val="de-CH"/>
        </w:rPr>
        <w:t xml:space="preserve">Die Leistungserbringerin wirkt beim Audit gemäss den Weisungen </w:t>
      </w:r>
      <w:r w:rsidR="00D22FFD">
        <w:rPr>
          <w:highlight w:val="yellow"/>
          <w:lang w:val="de-CH"/>
        </w:rPr>
        <w:t xml:space="preserve">des KAIO oder </w:t>
      </w:r>
      <w:r w:rsidRPr="00840D76">
        <w:rPr>
          <w:highlight w:val="yellow"/>
          <w:lang w:val="de-CH"/>
        </w:rPr>
        <w:t xml:space="preserve">der mit dem Audit beauftragten Organisation </w:t>
      </w:r>
      <w:r w:rsidR="00D22FFD">
        <w:rPr>
          <w:highlight w:val="yellow"/>
          <w:lang w:val="de-CH"/>
        </w:rPr>
        <w:t xml:space="preserve">auf eigene Kosten </w:t>
      </w:r>
      <w:r w:rsidRPr="00840D76">
        <w:rPr>
          <w:highlight w:val="yellow"/>
          <w:lang w:val="de-CH"/>
        </w:rPr>
        <w:t>mit. Sie gewährt deren Mitarbeitenden oder Beauftragten den nötigen Zugang, gewährt ihnen die nötige Einsicht und beantwortet die von ihnen gestellten Fragen.</w:t>
      </w:r>
    </w:p>
    <w:p w14:paraId="17B0D30E" w14:textId="77777777" w:rsidR="00840D76" w:rsidRPr="00840D76" w:rsidRDefault="00840D76" w:rsidP="00840D76">
      <w:pPr>
        <w:pStyle w:val="Textkrper"/>
        <w:spacing w:after="200" w:line="300" w:lineRule="auto"/>
        <w:rPr>
          <w:bCs w:val="0"/>
          <w:highlight w:val="yellow"/>
          <w:lang w:val="de-CH"/>
        </w:rPr>
      </w:pPr>
      <w:r w:rsidRPr="00840D76">
        <w:rPr>
          <w:highlight w:val="yellow"/>
          <w:lang w:val="de-CH"/>
        </w:rPr>
        <w:t>Das KAIO verpflichtet die mit dem Audit beauftragte Organisation und ihre Mitarbeitenden und / oder Beauftragten zur Verschwiegenheit.</w:t>
      </w:r>
    </w:p>
    <w:p w14:paraId="759D707D" w14:textId="1241B98B" w:rsidR="00840D76" w:rsidRPr="00840D76" w:rsidRDefault="00840D76" w:rsidP="00840D76">
      <w:pPr>
        <w:pStyle w:val="Textkrper"/>
        <w:spacing w:after="200" w:line="300" w:lineRule="auto"/>
        <w:rPr>
          <w:bCs w:val="0"/>
          <w:highlight w:val="yellow"/>
          <w:lang w:val="de-CH"/>
        </w:rPr>
      </w:pPr>
      <w:r w:rsidRPr="00840D76">
        <w:rPr>
          <w:highlight w:val="yellow"/>
          <w:lang w:val="de-CH"/>
        </w:rPr>
        <w:t>Die durch die beauftragte Organisation in Rechnung gestellten Kosten trägt das KAIO</w:t>
      </w:r>
      <w:r w:rsidR="00D22FFD">
        <w:rPr>
          <w:highlight w:val="yellow"/>
          <w:lang w:val="de-CH"/>
        </w:rPr>
        <w:t xml:space="preserve"> grundsätzlich selber</w:t>
      </w:r>
      <w:r w:rsidRPr="00840D76">
        <w:rPr>
          <w:highlight w:val="yellow"/>
          <w:lang w:val="de-CH"/>
        </w:rPr>
        <w:t xml:space="preserve">. </w:t>
      </w:r>
      <w:r w:rsidR="00D22FFD">
        <w:rPr>
          <w:highlight w:val="yellow"/>
          <w:lang w:val="de-CH"/>
        </w:rPr>
        <w:t xml:space="preserve"> </w:t>
      </w:r>
      <w:r w:rsidR="00FB3C1C">
        <w:rPr>
          <w:highlight w:val="yellow"/>
          <w:lang w:val="de-CH"/>
        </w:rPr>
        <w:t xml:space="preserve">Die Rechnungen betreffend Audit werden ausschliesslich an das KAIO gestellt. Das KAIO wird die Kosten wie oben beschrieben an die Parteien weiterverrechnen. </w:t>
      </w:r>
    </w:p>
    <w:p w14:paraId="4BEEA37E" w14:textId="6FBD5722" w:rsidR="00840D76" w:rsidRPr="00A32686" w:rsidRDefault="00D22FFD" w:rsidP="00840D76">
      <w:pPr>
        <w:pStyle w:val="berschrift2nummeriert"/>
        <w:spacing w:before="0" w:after="200" w:line="300" w:lineRule="auto"/>
      </w:pPr>
      <w:r w:rsidRPr="00A32686">
        <w:t>Informationssicherheit und Datenschutz (ISDS)</w:t>
      </w:r>
    </w:p>
    <w:p w14:paraId="1D0304F9" w14:textId="77777777" w:rsidR="00840D76" w:rsidRPr="00A32686" w:rsidRDefault="00840D76" w:rsidP="00840D76">
      <w:pPr>
        <w:pStyle w:val="berschrift3nummeriert"/>
        <w:spacing w:before="0" w:after="200" w:line="300" w:lineRule="auto"/>
      </w:pPr>
      <w:r w:rsidRPr="00A32686">
        <w:t>Grundsätze</w:t>
      </w:r>
    </w:p>
    <w:p w14:paraId="17E28306" w14:textId="57687991" w:rsidR="00840D76" w:rsidRPr="00840D76" w:rsidRDefault="00840D76" w:rsidP="00840D76">
      <w:pPr>
        <w:pStyle w:val="Textkrper"/>
        <w:spacing w:line="300" w:lineRule="auto"/>
        <w:rPr>
          <w:lang w:val="de-CH"/>
        </w:rPr>
      </w:pPr>
      <w:r w:rsidRPr="00840D76">
        <w:rPr>
          <w:lang w:val="de-CH"/>
        </w:rPr>
        <w:t xml:space="preserve">Die Leistungserbringerin stellt mit technischen und organisatorischen Massnahmen sicher, dass </w:t>
      </w:r>
      <w:r w:rsidR="00D22FFD">
        <w:rPr>
          <w:lang w:val="de-CH"/>
        </w:rPr>
        <w:t xml:space="preserve">sie, </w:t>
      </w:r>
      <w:r w:rsidRPr="00840D76">
        <w:rPr>
          <w:lang w:val="de-CH"/>
        </w:rPr>
        <w:t>ihre</w:t>
      </w:r>
      <w:r w:rsidR="00D22FFD">
        <w:rPr>
          <w:lang w:val="de-CH"/>
        </w:rPr>
        <w:t xml:space="preserve"> Angestellten und</w:t>
      </w:r>
      <w:r w:rsidRPr="00840D76">
        <w:rPr>
          <w:lang w:val="de-CH"/>
        </w:rPr>
        <w:t xml:space="preserve"> Subunternehmen</w:t>
      </w:r>
      <w:r w:rsidR="001B1F2E">
        <w:rPr>
          <w:lang w:val="de-CH"/>
        </w:rPr>
        <w:t xml:space="preserve"> </w:t>
      </w:r>
      <w:r w:rsidRPr="00840D76">
        <w:rPr>
          <w:lang w:val="de-CH"/>
        </w:rPr>
        <w:t>sämtliche ISDS-Bestimmungen des Vertragswerks, beachten und umsetzen, welche auch für sie selbst gelten (insbesondere die Bestimmungen des vorliegenden Anhangs).</w:t>
      </w:r>
    </w:p>
    <w:p w14:paraId="67C94A5B" w14:textId="77777777" w:rsidR="00840D76" w:rsidRPr="00840D76" w:rsidRDefault="00840D76" w:rsidP="00840D76">
      <w:pPr>
        <w:pStyle w:val="Textkrper"/>
        <w:spacing w:line="300" w:lineRule="auto"/>
        <w:rPr>
          <w:lang w:val="de-CH"/>
        </w:rPr>
      </w:pPr>
      <w:r w:rsidRPr="00840D76">
        <w:rPr>
          <w:lang w:val="de-CH"/>
        </w:rPr>
        <w:lastRenderedPageBreak/>
        <w:t>Die folgenden Regelwerke sind durch die Leistungserbringerin zu beachten und umzusetzen:</w:t>
      </w:r>
    </w:p>
    <w:p w14:paraId="02A28FA9" w14:textId="40CD79D3" w:rsidR="00AE736D" w:rsidRPr="00DE4CDA" w:rsidRDefault="00AE736D" w:rsidP="00E44CBA">
      <w:pPr>
        <w:pStyle w:val="Aufzhlung"/>
        <w:numPr>
          <w:ilvl w:val="0"/>
          <w:numId w:val="0"/>
        </w:numPr>
        <w:ind w:left="851" w:hanging="284"/>
        <w:rPr>
          <w:lang w:val="de-CH"/>
        </w:rPr>
      </w:pPr>
    </w:p>
    <w:p w14:paraId="22F0C595" w14:textId="3D00C819" w:rsidR="00631924" w:rsidRPr="00631924" w:rsidRDefault="00631924" w:rsidP="00631924">
      <w:pPr>
        <w:pStyle w:val="Aufzhlung"/>
        <w:numPr>
          <w:ilvl w:val="0"/>
          <w:numId w:val="11"/>
        </w:numPr>
        <w:rPr>
          <w:lang w:val="de-CH"/>
        </w:rPr>
      </w:pPr>
      <w:r w:rsidRPr="00DE4CDA">
        <w:rPr>
          <w:lang w:val="de-CH"/>
        </w:rPr>
        <w:t>ISDS-Massnahmen gemäss Konzept vom …</w:t>
      </w:r>
      <w:r>
        <w:rPr>
          <w:lang w:val="de-CH"/>
        </w:rPr>
        <w:t>…</w:t>
      </w:r>
    </w:p>
    <w:p w14:paraId="316DF96C" w14:textId="6C434BBF" w:rsidR="00AE736D" w:rsidRPr="00AE736D" w:rsidRDefault="00AE736D" w:rsidP="00AE736D">
      <w:pPr>
        <w:pStyle w:val="Aufzhlung"/>
        <w:numPr>
          <w:ilvl w:val="0"/>
          <w:numId w:val="11"/>
        </w:numPr>
        <w:rPr>
          <w:lang w:val="de-CH"/>
        </w:rPr>
      </w:pPr>
      <w:r w:rsidRPr="00AE736D">
        <w:rPr>
          <w:lang w:val="de-CH"/>
        </w:rPr>
        <w:t xml:space="preserve"> AGB ISDS (V3.0) inkl. Anhang ISDS Grundschutz</w:t>
      </w:r>
    </w:p>
    <w:p w14:paraId="63067276" w14:textId="5871F290" w:rsidR="00AE736D" w:rsidRPr="00AE736D" w:rsidRDefault="00AE736D" w:rsidP="00AE736D">
      <w:pPr>
        <w:pStyle w:val="Aufzhlung"/>
        <w:numPr>
          <w:ilvl w:val="0"/>
          <w:numId w:val="11"/>
        </w:numPr>
        <w:rPr>
          <w:lang w:val="de-CH"/>
        </w:rPr>
      </w:pPr>
      <w:r w:rsidRPr="00AE736D">
        <w:rPr>
          <w:lang w:val="de-CH"/>
        </w:rPr>
        <w:t xml:space="preserve"> Weisung des KAIO über den Umgang mit Authentisierungsmerkmalen (IWS 1.3.004)</w:t>
      </w:r>
    </w:p>
    <w:p w14:paraId="16ED587B" w14:textId="15142044" w:rsidR="00AE736D" w:rsidRDefault="00AE736D" w:rsidP="00AE736D">
      <w:pPr>
        <w:pStyle w:val="Aufzhlung"/>
        <w:numPr>
          <w:ilvl w:val="0"/>
          <w:numId w:val="11"/>
        </w:numPr>
      </w:pPr>
      <w:r w:rsidRPr="0010002F">
        <w:rPr>
          <w:lang w:val="de-CH"/>
        </w:rPr>
        <w:t xml:space="preserve"> </w:t>
      </w:r>
      <w:r>
        <w:t>NSP BE Network Security Policy Kanton Bern (IWS 1.3.011)</w:t>
      </w:r>
    </w:p>
    <w:p w14:paraId="3D1664BA" w14:textId="77777777" w:rsidR="00AE736D" w:rsidRPr="00D77EBF" w:rsidRDefault="00AE736D" w:rsidP="00AE736D">
      <w:pPr>
        <w:pStyle w:val="Aufzhlung"/>
        <w:numPr>
          <w:ilvl w:val="0"/>
          <w:numId w:val="0"/>
        </w:numPr>
        <w:ind w:left="851"/>
        <w:rPr>
          <w:highlight w:val="yellow"/>
        </w:rPr>
      </w:pPr>
    </w:p>
    <w:p w14:paraId="111B38DA" w14:textId="77777777" w:rsidR="00840D76" w:rsidRPr="00840D76" w:rsidRDefault="00840D76" w:rsidP="00840D76">
      <w:pPr>
        <w:pStyle w:val="Textkrper"/>
        <w:spacing w:after="200" w:line="300" w:lineRule="auto"/>
        <w:rPr>
          <w:lang w:val="de-CH"/>
        </w:rPr>
      </w:pPr>
      <w:r w:rsidRPr="00840D76">
        <w:rPr>
          <w:lang w:val="de-CH"/>
        </w:rPr>
        <w:t>Bezüglich des Orts der Datenbearbeitung gilt Ziffer 20 AGB SIK. Betreffend Informationssicherheit und Datenschutz gilt Ziffer 13 AGB SIK. Darüber hinaus sind nachfolgende Ziffern zu berücksichtigen.</w:t>
      </w:r>
    </w:p>
    <w:p w14:paraId="5C60B7B3" w14:textId="77777777" w:rsidR="00840D76" w:rsidRPr="00A32686" w:rsidRDefault="00840D76" w:rsidP="00840D76">
      <w:pPr>
        <w:pStyle w:val="berschrift3nummeriert"/>
        <w:spacing w:before="0" w:after="200" w:line="300" w:lineRule="auto"/>
      </w:pPr>
      <w:r w:rsidRPr="00A32686">
        <w:t>Vertraulichkeit</w:t>
      </w:r>
    </w:p>
    <w:p w14:paraId="05743C62" w14:textId="77777777" w:rsidR="00840D76" w:rsidRPr="00840D76" w:rsidRDefault="00840D76" w:rsidP="00840D76">
      <w:pPr>
        <w:pStyle w:val="Textkrper"/>
        <w:spacing w:after="200" w:line="300" w:lineRule="auto"/>
        <w:rPr>
          <w:lang w:val="de-CH"/>
        </w:rPr>
      </w:pPr>
      <w:r w:rsidRPr="00840D76">
        <w:rPr>
          <w:lang w:val="de-CH"/>
        </w:rPr>
        <w:t>Die Leistungserbringerin verpflichtet sich und ihre Subunternehmen schriftlich, die vom KAIO im Rahmen des Vertragswerks zur Verfügung gestellten Unterlagen, Daten und Informationen vertraulich zu behandeln.</w:t>
      </w:r>
    </w:p>
    <w:p w14:paraId="573D25EF" w14:textId="77777777" w:rsidR="00840D76" w:rsidRPr="00840D76" w:rsidRDefault="00840D76" w:rsidP="00840D76">
      <w:pPr>
        <w:pStyle w:val="Textkrper"/>
        <w:spacing w:after="200" w:line="300" w:lineRule="auto"/>
        <w:rPr>
          <w:lang w:val="de-CH"/>
        </w:rPr>
      </w:pPr>
      <w:r w:rsidRPr="00840D76">
        <w:rPr>
          <w:lang w:val="de-CH"/>
        </w:rPr>
        <w:t xml:space="preserve">Die von der Leistungserbringerin sowie ihren Subunternehmen eingesetzten natürlichen Personen gelten aus strafrechtlicher Sicht als funktionelle Beamte und unterstehen deshalb im Rahmen der Erfüllung des Vertragswerks dem Amtsgeheimnis (Art. 320 </w:t>
      </w:r>
      <w:proofErr w:type="spellStart"/>
      <w:r w:rsidRPr="00840D76">
        <w:rPr>
          <w:lang w:val="de-CH"/>
        </w:rPr>
        <w:t>i.V.m</w:t>
      </w:r>
      <w:proofErr w:type="spellEnd"/>
      <w:r w:rsidRPr="00840D76">
        <w:rPr>
          <w:lang w:val="de-CH"/>
        </w:rPr>
        <w:t>. Art. 110 Abs. 3 StGB). Die Leistungserbringerin ist verpflichtet, sicherzustellen, dass diese Personen schriftlich auf diesen Umstand hingewiesen werden und eine entsprechende Vertraulichkeitserklärung unterzeichnen, bevor sie im Rahmen dieses Vertragswerks eingesetzt werden.</w:t>
      </w:r>
    </w:p>
    <w:p w14:paraId="5FE533B7" w14:textId="77777777" w:rsidR="00840D76" w:rsidRPr="00840D76" w:rsidRDefault="00840D76" w:rsidP="00840D76">
      <w:pPr>
        <w:pStyle w:val="Textkrper"/>
        <w:spacing w:after="200" w:line="300" w:lineRule="auto"/>
        <w:rPr>
          <w:lang w:val="de-CH"/>
        </w:rPr>
      </w:pPr>
      <w:r w:rsidRPr="00840D76">
        <w:rPr>
          <w:lang w:val="de-CH"/>
        </w:rPr>
        <w:t>Die Vertraulichkeitspflicht bleibt auch nach Beendigung des Vertragswerks bestehen.</w:t>
      </w:r>
    </w:p>
    <w:p w14:paraId="76FDD0EA" w14:textId="127802D0" w:rsidR="00840D76" w:rsidRPr="00840D76" w:rsidRDefault="00840D76" w:rsidP="00840D76">
      <w:pPr>
        <w:pStyle w:val="Textkrper"/>
        <w:spacing w:after="200" w:line="300" w:lineRule="auto"/>
        <w:rPr>
          <w:lang w:val="de-CH"/>
        </w:rPr>
      </w:pPr>
      <w:r w:rsidRPr="00840D76">
        <w:rPr>
          <w:lang w:val="de-CH"/>
        </w:rPr>
        <w:t>Das KAIO kann in künftigen Beschaffungsverfahren Informationen aus diesem Vertragsverhältnis gegenüber potenziellen neuen Leistungsanbietern offenlegen, soweit dies notwendig ist, damit ein vollständiges und sachgerechtes Angebot abgegeben werden kann.</w:t>
      </w:r>
    </w:p>
    <w:p w14:paraId="02448E42" w14:textId="77777777" w:rsidR="00840D76" w:rsidRPr="00A32686" w:rsidRDefault="00840D76" w:rsidP="00840D76">
      <w:pPr>
        <w:pStyle w:val="berschrift3nummeriert"/>
        <w:spacing w:before="0" w:after="200" w:line="300" w:lineRule="auto"/>
      </w:pPr>
      <w:r w:rsidRPr="00A32686">
        <w:t>Schulung</w:t>
      </w:r>
    </w:p>
    <w:p w14:paraId="1B122729" w14:textId="40ABB8D9" w:rsidR="00840D76" w:rsidRPr="00840D76" w:rsidRDefault="00840D76" w:rsidP="00840D76">
      <w:pPr>
        <w:pStyle w:val="Textkrper"/>
        <w:spacing w:after="200" w:line="300" w:lineRule="auto"/>
        <w:rPr>
          <w:lang w:val="de-CH"/>
        </w:rPr>
      </w:pPr>
      <w:r w:rsidRPr="00840D76">
        <w:rPr>
          <w:lang w:val="de-CH"/>
        </w:rPr>
        <w:t xml:space="preserve">Benötigen einzelne, von der Leistungserbringerin oder ihren Subunternehmen eingesetzte natürliche Personen zum Zweck der Leistungserbringung ein Benutzerkonto im </w:t>
      </w:r>
      <w:proofErr w:type="spellStart"/>
      <w:r w:rsidRPr="00840D76">
        <w:rPr>
          <w:lang w:val="de-CH"/>
        </w:rPr>
        <w:t>Active</w:t>
      </w:r>
      <w:proofErr w:type="spellEnd"/>
      <w:r w:rsidRPr="00840D76">
        <w:rPr>
          <w:lang w:val="de-CH"/>
        </w:rPr>
        <w:t xml:space="preserve"> Directory des Kantons Bern, so sind diese Personen dazu verpflichtet, den Onlinekurs «BE-Secure» erfolgreich </w:t>
      </w:r>
      <w:r w:rsidR="00631924">
        <w:rPr>
          <w:lang w:val="de-CH"/>
        </w:rPr>
        <w:t xml:space="preserve">und auf eigene Kosten </w:t>
      </w:r>
      <w:r w:rsidRPr="00840D76">
        <w:rPr>
          <w:lang w:val="de-CH"/>
        </w:rPr>
        <w:t xml:space="preserve">zu absolvieren. </w:t>
      </w:r>
    </w:p>
    <w:p w14:paraId="227517AE" w14:textId="77777777" w:rsidR="00840D76" w:rsidRPr="00A32686" w:rsidRDefault="00840D76" w:rsidP="00840D76">
      <w:pPr>
        <w:pStyle w:val="berschrift3nummeriert"/>
        <w:spacing w:before="0" w:after="200" w:line="300" w:lineRule="auto"/>
      </w:pPr>
      <w:bookmarkStart w:id="5" w:name="_GoBack"/>
      <w:r w:rsidRPr="00A32686">
        <w:t>Information Security Management</w:t>
      </w:r>
    </w:p>
    <w:bookmarkEnd w:id="5"/>
    <w:p w14:paraId="011A3925" w14:textId="6730250C" w:rsidR="00840D76" w:rsidRDefault="00840D76" w:rsidP="00840D76">
      <w:pPr>
        <w:pStyle w:val="Textkrper"/>
        <w:spacing w:after="200" w:line="300" w:lineRule="auto"/>
        <w:rPr>
          <w:lang w:val="de-CH"/>
        </w:rPr>
      </w:pPr>
      <w:r w:rsidRPr="00840D76">
        <w:rPr>
          <w:lang w:val="de-CH"/>
        </w:rPr>
        <w:t>Die Leistungserbringerin ist dazu verpflichtet, in ihrem Zuständigkeitsbereich nach dem aktuellen Stand der Technik und den Regeln der Kunst die Sicherheit und den Schutz der Informationen und Daten des KAIO zu gewährleisten. Sie berücksichtigt dabei insbesondere auch die ISDS-Bestimmungen des Bundes sowie die Vorgaben gemäss der jeweils aktuellsten Version der Normenserie ISO/IEC 2700</w:t>
      </w:r>
      <w:r w:rsidR="009B2031">
        <w:rPr>
          <w:lang w:val="de-CH"/>
        </w:rPr>
        <w:t>X</w:t>
      </w:r>
      <w:r w:rsidRPr="00840D76">
        <w:rPr>
          <w:lang w:val="de-CH"/>
        </w:rPr>
        <w:t>.</w:t>
      </w:r>
      <w:r w:rsidR="009B2031">
        <w:rPr>
          <w:lang w:val="de-CH"/>
        </w:rPr>
        <w:t xml:space="preserve"> </w:t>
      </w:r>
      <w:r w:rsidR="009B2031" w:rsidRPr="009B2031">
        <w:rPr>
          <w:lang w:val="de-CH"/>
        </w:rPr>
        <w:t>Die Leistungserbringerin betreibt ein Risikomanagement bezüglich der IT-Sicherheit als Teil des auf dem ISO/IEC 2700</w:t>
      </w:r>
      <w:r w:rsidR="009B2031">
        <w:rPr>
          <w:lang w:val="de-CH"/>
        </w:rPr>
        <w:t>X</w:t>
      </w:r>
      <w:r w:rsidR="009B2031" w:rsidRPr="009B2031">
        <w:rPr>
          <w:lang w:val="de-CH"/>
        </w:rPr>
        <w:t xml:space="preserve"> basierenden ISMS. Dieses Risikomanagement sorgt für eine frühzeitige Erkennung und Bewertung von Gefahren und definiert präventive und r</w:t>
      </w:r>
      <w:r w:rsidR="009B2031">
        <w:rPr>
          <w:lang w:val="de-CH"/>
        </w:rPr>
        <w:t>eaktive Massnahmen zur Risikore</w:t>
      </w:r>
      <w:r w:rsidR="009B2031" w:rsidRPr="009B2031">
        <w:rPr>
          <w:lang w:val="de-CH"/>
        </w:rPr>
        <w:t>duktion. Das Risikomanagement der Leistungserbringerin ist zudem verantwortlich für die Überprüfung von Massnahmen.</w:t>
      </w:r>
      <w:r w:rsidRPr="00840D76">
        <w:rPr>
          <w:lang w:val="de-CH"/>
        </w:rPr>
        <w:t xml:space="preserve"> </w:t>
      </w:r>
    </w:p>
    <w:p w14:paraId="3D0A2835" w14:textId="3E4898D9" w:rsidR="009B2031" w:rsidRPr="00840D76" w:rsidRDefault="009B2031" w:rsidP="00840D76">
      <w:pPr>
        <w:pStyle w:val="Textkrper"/>
        <w:spacing w:after="200" w:line="300" w:lineRule="auto"/>
        <w:rPr>
          <w:lang w:val="de-CH"/>
        </w:rPr>
      </w:pPr>
      <w:r w:rsidRPr="009B2031">
        <w:rPr>
          <w:lang w:val="de-CH"/>
        </w:rPr>
        <w:t xml:space="preserve">Die identifizierten und bewerteten Risiken werden dem KAIO jährlich schriftlich kommuniziert unter Nennung der entsprechend beabsichtigten Massnahmen, soweit diese </w:t>
      </w:r>
      <w:r>
        <w:rPr>
          <w:lang w:val="de-CH"/>
        </w:rPr>
        <w:t xml:space="preserve">Daten betreffen, die mit den Leistungen </w:t>
      </w:r>
      <w:r>
        <w:rPr>
          <w:lang w:val="de-CH"/>
        </w:rPr>
        <w:lastRenderedPageBreak/>
        <w:t xml:space="preserve">aus diesem Vertrag im Zusammenhang stehen. </w:t>
      </w:r>
    </w:p>
    <w:p w14:paraId="660EE621" w14:textId="2351E6E6" w:rsidR="00840D76" w:rsidRPr="00840D76" w:rsidRDefault="00840D76" w:rsidP="00840D76">
      <w:pPr>
        <w:pStyle w:val="Textkrper"/>
        <w:spacing w:after="200" w:line="300" w:lineRule="auto"/>
        <w:rPr>
          <w:lang w:val="de-CH"/>
        </w:rPr>
      </w:pPr>
      <w:r w:rsidRPr="00840D76">
        <w:rPr>
          <w:highlight w:val="yellow"/>
          <w:lang w:val="de-CH"/>
        </w:rPr>
        <w:t>[Wenn noch nicht alle ISDS-Unterlagen bestehen:]</w:t>
      </w:r>
      <w:r w:rsidRPr="00840D76">
        <w:rPr>
          <w:lang w:val="de-CH"/>
        </w:rPr>
        <w:t xml:space="preserve"> </w:t>
      </w:r>
      <w:r w:rsidR="00BC3ABE">
        <w:rPr>
          <w:lang w:val="de-CH"/>
        </w:rPr>
        <w:t>Das</w:t>
      </w:r>
      <w:r w:rsidR="00BC3ABE" w:rsidRPr="00840D76">
        <w:rPr>
          <w:lang w:val="de-CH"/>
        </w:rPr>
        <w:t xml:space="preserve"> </w:t>
      </w:r>
      <w:r w:rsidRPr="00840D76">
        <w:rPr>
          <w:lang w:val="de-CH"/>
        </w:rPr>
        <w:t>vom KAIO zu erstellende ISDS-</w:t>
      </w:r>
      <w:r w:rsidR="00BC3ABE">
        <w:rPr>
          <w:lang w:val="de-CH"/>
        </w:rPr>
        <w:t xml:space="preserve">Konzept und die dort beschriebenen Massnahmen sind Teil der Leistungen der </w:t>
      </w:r>
      <w:r w:rsidRPr="00840D76">
        <w:rPr>
          <w:lang w:val="de-CH"/>
        </w:rPr>
        <w:t xml:space="preserve">Leistungserbringerin. </w:t>
      </w:r>
      <w:r w:rsidR="00BC3ABE">
        <w:rPr>
          <w:lang w:val="de-CH"/>
        </w:rPr>
        <w:t>Sie</w:t>
      </w:r>
      <w:r w:rsidRPr="00840D76">
        <w:rPr>
          <w:lang w:val="de-CH"/>
        </w:rPr>
        <w:t xml:space="preserve"> wirkt bei der Erstellung dieser ISDS-Unterlagen auf </w:t>
      </w:r>
      <w:r w:rsidR="00BC3ABE">
        <w:rPr>
          <w:lang w:val="de-CH"/>
        </w:rPr>
        <w:t xml:space="preserve">eigene Kosten </w:t>
      </w:r>
      <w:r w:rsidRPr="00840D76">
        <w:rPr>
          <w:lang w:val="de-CH"/>
        </w:rPr>
        <w:t xml:space="preserve">mit. </w:t>
      </w:r>
    </w:p>
    <w:p w14:paraId="525F7EF7" w14:textId="15999CFA" w:rsidR="00840D76" w:rsidRPr="00840D76" w:rsidRDefault="009B2031" w:rsidP="00840D76">
      <w:pPr>
        <w:pStyle w:val="Textkrper"/>
        <w:spacing w:after="200" w:line="300" w:lineRule="auto"/>
        <w:rPr>
          <w:noProof/>
          <w:lang w:val="de-CH"/>
        </w:rPr>
      </w:pPr>
      <w:r w:rsidRPr="00840D76" w:rsidDel="009B2031">
        <w:rPr>
          <w:noProof/>
          <w:lang w:val="de-CH"/>
        </w:rPr>
        <w:t xml:space="preserve"> </w:t>
      </w:r>
      <w:r w:rsidR="00840D76" w:rsidRPr="00840D76">
        <w:rPr>
          <w:noProof/>
          <w:highlight w:val="yellow"/>
          <w:lang w:val="de-CH"/>
        </w:rPr>
        <w:t>[Wenn bereits ein ISDS-Konzept besteht:]</w:t>
      </w:r>
      <w:r w:rsidR="00840D76" w:rsidRPr="00840D76">
        <w:rPr>
          <w:noProof/>
          <w:lang w:val="de-CH"/>
        </w:rPr>
        <w:t xml:space="preserve"> Die Leistungserbringerin ist verpflichtet, die im ISDS-Konzept des KAIO vom </w:t>
      </w:r>
      <w:r w:rsidR="00840D76" w:rsidRPr="00840D76">
        <w:rPr>
          <w:noProof/>
          <w:highlight w:val="yellow"/>
          <w:lang w:val="de-CH"/>
        </w:rPr>
        <w:t>[DATUM]</w:t>
      </w:r>
      <w:r w:rsidR="00840D76" w:rsidRPr="00840D76">
        <w:rPr>
          <w:noProof/>
          <w:lang w:val="de-CH"/>
        </w:rPr>
        <w:t xml:space="preserve"> definierten technischen und organisatorischen Massnahmen umzusetzen. Die dadurch verursachten Aufwände der Leistungserbringerin sind nicht separat verrechenbar.</w:t>
      </w:r>
    </w:p>
    <w:p w14:paraId="665EE545" w14:textId="6485ECD2" w:rsidR="00840D76" w:rsidRPr="00840D76" w:rsidRDefault="00840D76" w:rsidP="00840D76">
      <w:pPr>
        <w:pStyle w:val="Textkrper"/>
        <w:spacing w:after="200" w:line="300" w:lineRule="auto"/>
        <w:rPr>
          <w:lang w:val="de-CH"/>
        </w:rPr>
      </w:pPr>
      <w:bookmarkStart w:id="6" w:name="_Toc296859893"/>
    </w:p>
    <w:p w14:paraId="618E6726" w14:textId="77777777" w:rsidR="00840D76" w:rsidRPr="00840D76" w:rsidRDefault="00840D76" w:rsidP="00840D76">
      <w:pPr>
        <w:pStyle w:val="Textkrper"/>
        <w:spacing w:after="200" w:line="300" w:lineRule="auto"/>
        <w:rPr>
          <w:lang w:val="de-CH"/>
        </w:rPr>
      </w:pPr>
    </w:p>
    <w:p w14:paraId="2F1809E7" w14:textId="77777777" w:rsidR="00986522" w:rsidRPr="00BE1DDD" w:rsidRDefault="00840D76" w:rsidP="00840D76">
      <w:pPr>
        <w:pStyle w:val="Aufzhlung"/>
        <w:numPr>
          <w:ilvl w:val="0"/>
          <w:numId w:val="0"/>
        </w:numPr>
        <w:spacing w:before="0"/>
        <w:contextualSpacing w:val="0"/>
        <w:jc w:val="center"/>
      </w:pPr>
      <w:r>
        <w:t>* * *</w:t>
      </w:r>
      <w:bookmarkEnd w:id="1"/>
      <w:bookmarkEnd w:id="6"/>
    </w:p>
    <w:sectPr w:rsidR="00986522"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679D" w14:textId="77777777" w:rsidR="00583D3D" w:rsidRDefault="00583D3D" w:rsidP="00F91D37">
      <w:pPr>
        <w:spacing w:line="240" w:lineRule="auto"/>
      </w:pPr>
      <w:r>
        <w:separator/>
      </w:r>
    </w:p>
  </w:endnote>
  <w:endnote w:type="continuationSeparator" w:id="0">
    <w:p w14:paraId="34B335A6" w14:textId="77777777" w:rsidR="00583D3D" w:rsidRDefault="00583D3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3612" w14:textId="22CABB7D" w:rsidR="00840D76" w:rsidRPr="002C6447" w:rsidRDefault="00840D76" w:rsidP="00840D76">
    <w:pPr>
      <w:pStyle w:val="Text65pt"/>
      <w:rPr>
        <w:lang w:val="de-CH"/>
      </w:rPr>
    </w:pPr>
    <w:r>
      <w:rPr>
        <w:noProof/>
        <w:lang w:val="de-CH" w:eastAsia="de-CH"/>
      </w:rPr>
      <mc:AlternateContent>
        <mc:Choice Requires="wps">
          <w:drawing>
            <wp:anchor distT="0" distB="0" distL="114300" distR="114300" simplePos="0" relativeHeight="251682815" behindDoc="0" locked="1" layoutInCell="1" allowOverlap="1" wp14:anchorId="161A6D23" wp14:editId="0ED9A68B">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9ED21" w14:textId="72BF62D3" w:rsidR="00840D76" w:rsidRPr="005C6148" w:rsidRDefault="00840D76" w:rsidP="00840D76">
                          <w:pPr>
                            <w:pStyle w:val="Seitenzahlen"/>
                          </w:pPr>
                          <w:r w:rsidRPr="005C6148">
                            <w:fldChar w:fldCharType="begin"/>
                          </w:r>
                          <w:r w:rsidRPr="005C6148">
                            <w:instrText>PAGE   \* MERGEFORMAT</w:instrText>
                          </w:r>
                          <w:r w:rsidRPr="005C6148">
                            <w:fldChar w:fldCharType="separate"/>
                          </w:r>
                          <w:r w:rsidR="00A32686" w:rsidRPr="00A3268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6D23" id="_x0000_t202" coordsize="21600,21600" o:spt="202" path="m,l,21600r21600,l21600,xe">
              <v:stroke joinstyle="miter"/>
              <v:path gradientshapeok="t" o:connecttype="rect"/>
            </v:shapetype>
            <v:shape id="Textfeld 2" o:spid="_x0000_s1026"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I3sYDVzAgAAVgUAAA4AAAAAAAAAAAAAAAAALgIA&#10;AGRycy9lMm9Eb2MueG1sUEsBAi0AFAAGAAgAAAAhAMfBU9HUAAAAAwEAAA8AAAAAAAAAAAAAAAAA&#10;zQQAAGRycy9kb3ducmV2LnhtbFBLBQYAAAAABAAEAPMAAADOBQAAAAA=&#10;" filled="f" stroked="f" strokeweight=".5pt">
              <v:textbox inset="0,0,0,8mm">
                <w:txbxContent>
                  <w:p w14:paraId="0239ED21" w14:textId="72BF62D3" w:rsidR="00840D76" w:rsidRPr="005C6148" w:rsidRDefault="00840D76" w:rsidP="00840D76">
                    <w:pPr>
                      <w:pStyle w:val="Seitenzahlen"/>
                    </w:pPr>
                    <w:r w:rsidRPr="005C6148">
                      <w:fldChar w:fldCharType="begin"/>
                    </w:r>
                    <w:r w:rsidRPr="005C6148">
                      <w:instrText>PAGE   \* MERGEFORMAT</w:instrText>
                    </w:r>
                    <w:r w:rsidRPr="005C6148">
                      <w:fldChar w:fldCharType="separate"/>
                    </w:r>
                    <w:r w:rsidR="00A32686" w:rsidRPr="00A3268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81791" behindDoc="0" locked="1" layoutInCell="1" allowOverlap="1" wp14:anchorId="4ED6D945" wp14:editId="2359FD71">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BB66F" w14:textId="2262F362" w:rsidR="00840D76" w:rsidRPr="005C6148" w:rsidRDefault="00840D76" w:rsidP="00840D76">
                          <w:pPr>
                            <w:pStyle w:val="Seitenzahlen"/>
                          </w:pPr>
                          <w:r w:rsidRPr="005C6148">
                            <w:fldChar w:fldCharType="begin"/>
                          </w:r>
                          <w:r w:rsidRPr="005C6148">
                            <w:instrText>PAGE   \* MERGEFORMAT</w:instrText>
                          </w:r>
                          <w:r w:rsidRPr="005C6148">
                            <w:fldChar w:fldCharType="separate"/>
                          </w:r>
                          <w:r w:rsidR="00A32686" w:rsidRPr="00A3268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6D945" id="Textfeld 3"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DSvO9WdwIAAF0FAAAOAAAAAAAAAAAAAAAA&#10;AC4CAABkcnMvZTJvRG9jLnhtbFBLAQItABQABgAIAAAAIQDHwVPR1AAAAAMBAAAPAAAAAAAAAAAA&#10;AAAAANEEAABkcnMvZG93bnJldi54bWxQSwUGAAAAAAQABADzAAAA0gUAAAAA&#10;" filled="f" stroked="f" strokeweight=".5pt">
              <v:textbox inset="0,0,0,8mm">
                <w:txbxContent>
                  <w:p w14:paraId="320BB66F" w14:textId="2262F362" w:rsidR="00840D76" w:rsidRPr="005C6148" w:rsidRDefault="00840D76" w:rsidP="00840D76">
                    <w:pPr>
                      <w:pStyle w:val="Seitenzahlen"/>
                    </w:pPr>
                    <w:r w:rsidRPr="005C6148">
                      <w:fldChar w:fldCharType="begin"/>
                    </w:r>
                    <w:r w:rsidRPr="005C6148">
                      <w:instrText>PAGE   \* MERGEFORMAT</w:instrText>
                    </w:r>
                    <w:r w:rsidRPr="005C6148">
                      <w:fldChar w:fldCharType="separate"/>
                    </w:r>
                    <w:r w:rsidR="00A32686" w:rsidRPr="00A32686">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v:textbox>
              <w10:wrap anchorx="margin" anchory="page"/>
              <w10:anchorlock/>
            </v:shape>
          </w:pict>
        </mc:Fallback>
      </mc:AlternateContent>
    </w:r>
  </w:p>
  <w:p w14:paraId="28363458" w14:textId="6C62A6DC" w:rsidR="00797FDE" w:rsidRPr="00840D76" w:rsidRDefault="00A76243" w:rsidP="00840D76">
    <w:pPr>
      <w:pStyle w:val="Fuzeile"/>
    </w:pPr>
    <w:r w:rsidRPr="00A76243">
      <w:t xml:space="preserve">Anhang «Kontrolle und ISDS» </w:t>
    </w:r>
    <w:r w:rsidRPr="00A76243">
      <w:tab/>
      <w:t xml:space="preserve">                                              Version </w:t>
    </w:r>
    <w:r w:rsidRPr="00A76243">
      <w:rPr>
        <w:highlight w:val="yellow"/>
      </w:rPr>
      <w:t>[Nummer]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2F7" w14:textId="4F1E658C" w:rsidR="00797FDE" w:rsidRPr="002C6447" w:rsidRDefault="00A76243" w:rsidP="002C6447">
    <w:pPr>
      <w:pStyle w:val="Text65pt"/>
      <w:rPr>
        <w:lang w:val="de-CH"/>
      </w:rPr>
    </w:pPr>
    <w:r w:rsidRPr="00A76243">
      <w:rPr>
        <w:lang w:val="de-CH"/>
      </w:rPr>
      <w:t xml:space="preserve">Anhang «Kontrolle und ISDS» </w:t>
    </w:r>
    <w:r w:rsidRPr="00A76243">
      <w:rPr>
        <w:lang w:val="de-CH"/>
      </w:rPr>
      <w:tab/>
      <w:t xml:space="preserve">                                              Version </w:t>
    </w:r>
    <w:r w:rsidRPr="00A76243">
      <w:rPr>
        <w:highlight w:val="yellow"/>
        <w:lang w:val="de-CH"/>
      </w:rPr>
      <w:t>[Nummer]</w:t>
    </w:r>
    <w:r w:rsidR="002C6447">
      <w:rPr>
        <w:noProof/>
        <w:lang w:val="de-CH" w:eastAsia="de-CH"/>
      </w:rPr>
      <mc:AlternateContent>
        <mc:Choice Requires="wps">
          <w:drawing>
            <wp:anchor distT="0" distB="0" distL="114300" distR="114300" simplePos="0" relativeHeight="251679743" behindDoc="0" locked="1" layoutInCell="1" allowOverlap="1" wp14:anchorId="25153239" wp14:editId="39346869">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7B53C" w14:textId="0138AD91" w:rsidR="002C6447" w:rsidRPr="005C6148" w:rsidRDefault="002C6447" w:rsidP="002C6447">
                          <w:pPr>
                            <w:pStyle w:val="Seitenzahlen"/>
                          </w:pP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53239" id="_x0000_t202" coordsize="21600,21600" o:spt="202" path="m,l,21600r21600,l21600,xe">
              <v:stroke joinstyle="miter"/>
              <v:path gradientshapeok="t" o:connecttype="rect"/>
            </v:shapetype>
            <v:shape id="Textfeld 1" o:spid="_x0000_s1028" type="#_x0000_t202" style="position:absolute;margin-left:-1.6pt;margin-top:0;width:49.6pt;height:44.8pt;z-index:2516797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" filled="f" stroked="f" strokeweight=".5pt">
              <v:textbox inset="0,0,0,8mm">
                <w:txbxContent>
                  <w:p w14:paraId="6787B53C" w14:textId="0138AD91" w:rsidR="002C6447" w:rsidRPr="005C6148" w:rsidRDefault="002C6447" w:rsidP="002C6447">
                    <w:pPr>
                      <w:pStyle w:val="Seitenzahlen"/>
                    </w:pPr>
                  </w:p>
                </w:txbxContent>
              </v:textbox>
              <w10:wrap anchorx="margin" anchory="page"/>
              <w10:anchorlock/>
            </v:shape>
          </w:pict>
        </mc:Fallback>
      </mc:AlternateContent>
    </w:r>
    <w:r w:rsidR="00797FDE" w:rsidRPr="00BE1DDD">
      <w:rPr>
        <w:noProof/>
        <w:highlight w:val="cyan"/>
        <w:lang w:val="de-CH" w:eastAsia="de-CH"/>
      </w:rPr>
      <mc:AlternateContent>
        <mc:Choice Requires="wps">
          <w:drawing>
            <wp:anchor distT="0" distB="0" distL="114300" distR="114300" simplePos="0" relativeHeight="251665407" behindDoc="0" locked="1" layoutInCell="1" allowOverlap="1" wp14:anchorId="2A96445C" wp14:editId="61C94A7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48B52" w14:textId="64C0A152"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A32686" w:rsidRPr="00A3268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445C" id="_x0000_t202" coordsize="21600,21600" o:spt="202" path="m,l,21600r21600,l21600,xe">
              <v:stroke joinstyle="miter"/>
              <v:path gradientshapeok="t" o:connecttype="rect"/>
            </v:shapetype>
            <v:shape id="Textfeld 4" o:spid="_x0000_s1029"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801LqHgCAABdBQAADgAAAAAAAAAAAAAA&#10;AAAuAgAAZHJzL2Uyb0RvYy54bWxQSwECLQAUAAYACAAAACEAx8FT0dQAAAADAQAADwAAAAAAAAAA&#10;AAAAAADSBAAAZHJzL2Rvd25yZXYueG1sUEsFBgAAAAAEAAQA8wAAANMFAAAAAA==&#10;" filled="f" stroked="f" strokeweight=".5pt">
              <v:textbox inset="0,0,0,8mm">
                <w:txbxContent>
                  <w:p w14:paraId="3A848B52" w14:textId="64C0A152"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A32686" w:rsidRPr="00A3268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32686">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AC2F" w14:textId="77777777" w:rsidR="00583D3D" w:rsidRDefault="00583D3D" w:rsidP="00F91D37">
      <w:pPr>
        <w:spacing w:line="240" w:lineRule="auto"/>
      </w:pPr>
    </w:p>
    <w:p w14:paraId="0E596BDB" w14:textId="77777777" w:rsidR="00583D3D" w:rsidRDefault="00583D3D" w:rsidP="00F91D37">
      <w:pPr>
        <w:spacing w:line="240" w:lineRule="auto"/>
      </w:pPr>
    </w:p>
  </w:footnote>
  <w:footnote w:type="continuationSeparator" w:id="0">
    <w:p w14:paraId="5B4CCAA3" w14:textId="77777777" w:rsidR="00583D3D" w:rsidRDefault="00583D3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737E" w14:textId="77777777" w:rsidR="00797FDE" w:rsidRDefault="00797FDE" w:rsidP="000822A6">
    <w:pPr>
      <w:pStyle w:val="Kopfzeile"/>
      <w:jc w:val="right"/>
    </w:pPr>
    <w:r>
      <w:drawing>
        <wp:anchor distT="0" distB="0" distL="114300" distR="114300" simplePos="0" relativeHeight="251669503" behindDoc="0" locked="1" layoutInCell="1" allowOverlap="1" wp14:anchorId="4E5C9591" wp14:editId="50E2BA6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5246"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930C29"/>
    <w:multiLevelType w:val="multilevel"/>
    <w:tmpl w:val="79A2DB70"/>
    <w:lvl w:ilvl="0">
      <w:start w:val="1"/>
      <w:numFmt w:val="bullet"/>
      <w:lvlText w:val="-"/>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6E6B58D6"/>
    <w:multiLevelType w:val="hybridMultilevel"/>
    <w:tmpl w:val="A7CCB56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583D3D"/>
    <w:rsid w:val="00002978"/>
    <w:rsid w:val="0001010F"/>
    <w:rsid w:val="000116E1"/>
    <w:rsid w:val="000118C1"/>
    <w:rsid w:val="00015D48"/>
    <w:rsid w:val="0002147A"/>
    <w:rsid w:val="00022547"/>
    <w:rsid w:val="000258FF"/>
    <w:rsid w:val="000266B7"/>
    <w:rsid w:val="0002739A"/>
    <w:rsid w:val="00032B92"/>
    <w:rsid w:val="00034EB5"/>
    <w:rsid w:val="000409C8"/>
    <w:rsid w:val="00041700"/>
    <w:rsid w:val="0004410F"/>
    <w:rsid w:val="00045DA0"/>
    <w:rsid w:val="0004775B"/>
    <w:rsid w:val="00054BDC"/>
    <w:rsid w:val="00055AD3"/>
    <w:rsid w:val="000610F6"/>
    <w:rsid w:val="00061F5D"/>
    <w:rsid w:val="00063BC2"/>
    <w:rsid w:val="00067BC8"/>
    <w:rsid w:val="000701F1"/>
    <w:rsid w:val="0007095A"/>
    <w:rsid w:val="00071780"/>
    <w:rsid w:val="0008198A"/>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02F"/>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565"/>
    <w:rsid w:val="00190A82"/>
    <w:rsid w:val="00196ABC"/>
    <w:rsid w:val="00196B03"/>
    <w:rsid w:val="00196C0B"/>
    <w:rsid w:val="001A0029"/>
    <w:rsid w:val="001A666F"/>
    <w:rsid w:val="001B166D"/>
    <w:rsid w:val="001B1F2E"/>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3637"/>
    <w:rsid w:val="00223748"/>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485F"/>
    <w:rsid w:val="00290E37"/>
    <w:rsid w:val="0029375B"/>
    <w:rsid w:val="002945F1"/>
    <w:rsid w:val="00295DEC"/>
    <w:rsid w:val="002A3098"/>
    <w:rsid w:val="002C2DC3"/>
    <w:rsid w:val="002C4AA4"/>
    <w:rsid w:val="002C6447"/>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0458"/>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27C2"/>
    <w:rsid w:val="0040593D"/>
    <w:rsid w:val="00410AF1"/>
    <w:rsid w:val="00415DCA"/>
    <w:rsid w:val="004165DE"/>
    <w:rsid w:val="004212A5"/>
    <w:rsid w:val="00421DB9"/>
    <w:rsid w:val="00427E73"/>
    <w:rsid w:val="00436626"/>
    <w:rsid w:val="004378C7"/>
    <w:rsid w:val="0044096D"/>
    <w:rsid w:val="004519B6"/>
    <w:rsid w:val="00452D49"/>
    <w:rsid w:val="00452E96"/>
    <w:rsid w:val="004607F4"/>
    <w:rsid w:val="00466CA6"/>
    <w:rsid w:val="00470BD2"/>
    <w:rsid w:val="004714DD"/>
    <w:rsid w:val="00472080"/>
    <w:rsid w:val="00481775"/>
    <w:rsid w:val="00482FCC"/>
    <w:rsid w:val="00484FC6"/>
    <w:rsid w:val="00486DBB"/>
    <w:rsid w:val="00491992"/>
    <w:rsid w:val="0049364E"/>
    <w:rsid w:val="00494472"/>
    <w:rsid w:val="00494FD7"/>
    <w:rsid w:val="0049577D"/>
    <w:rsid w:val="004A039B"/>
    <w:rsid w:val="004A0479"/>
    <w:rsid w:val="004A41E9"/>
    <w:rsid w:val="004A60C5"/>
    <w:rsid w:val="004B0FDB"/>
    <w:rsid w:val="004B6A97"/>
    <w:rsid w:val="004C1329"/>
    <w:rsid w:val="004C3880"/>
    <w:rsid w:val="004C43EC"/>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D3D"/>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2249"/>
    <w:rsid w:val="005D4FBB"/>
    <w:rsid w:val="005D682F"/>
    <w:rsid w:val="005E3592"/>
    <w:rsid w:val="005E46D2"/>
    <w:rsid w:val="005E74A9"/>
    <w:rsid w:val="005F60CA"/>
    <w:rsid w:val="005F64F0"/>
    <w:rsid w:val="00602616"/>
    <w:rsid w:val="006044D5"/>
    <w:rsid w:val="006051C4"/>
    <w:rsid w:val="0060750F"/>
    <w:rsid w:val="00614396"/>
    <w:rsid w:val="00617C59"/>
    <w:rsid w:val="006201A2"/>
    <w:rsid w:val="00621CAF"/>
    <w:rsid w:val="00622FDC"/>
    <w:rsid w:val="00625020"/>
    <w:rsid w:val="00625488"/>
    <w:rsid w:val="006304C2"/>
    <w:rsid w:val="00631924"/>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10E"/>
    <w:rsid w:val="006822FA"/>
    <w:rsid w:val="006854F3"/>
    <w:rsid w:val="00686D14"/>
    <w:rsid w:val="00687ED7"/>
    <w:rsid w:val="00693B4C"/>
    <w:rsid w:val="0069453E"/>
    <w:rsid w:val="006B3473"/>
    <w:rsid w:val="006B61C1"/>
    <w:rsid w:val="006C055A"/>
    <w:rsid w:val="006C10F1"/>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0F2"/>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196E"/>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D76"/>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2C38"/>
    <w:rsid w:val="008822E5"/>
    <w:rsid w:val="00882473"/>
    <w:rsid w:val="00883CC4"/>
    <w:rsid w:val="008849F4"/>
    <w:rsid w:val="00886881"/>
    <w:rsid w:val="0089690A"/>
    <w:rsid w:val="008A2609"/>
    <w:rsid w:val="008A3A66"/>
    <w:rsid w:val="008B62DD"/>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1C86"/>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031"/>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2686"/>
    <w:rsid w:val="00A35A36"/>
    <w:rsid w:val="00A36ED7"/>
    <w:rsid w:val="00A45E6C"/>
    <w:rsid w:val="00A5451D"/>
    <w:rsid w:val="00A55C83"/>
    <w:rsid w:val="00A57815"/>
    <w:rsid w:val="00A6174D"/>
    <w:rsid w:val="00A62F82"/>
    <w:rsid w:val="00A70CDC"/>
    <w:rsid w:val="00A7133D"/>
    <w:rsid w:val="00A76243"/>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1DB0"/>
    <w:rsid w:val="00AD36B2"/>
    <w:rsid w:val="00AD7AE5"/>
    <w:rsid w:val="00AE2DE1"/>
    <w:rsid w:val="00AE736D"/>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ABE"/>
    <w:rsid w:val="00BC3E90"/>
    <w:rsid w:val="00BC655F"/>
    <w:rsid w:val="00BD3717"/>
    <w:rsid w:val="00BD4A9C"/>
    <w:rsid w:val="00BE1DDD"/>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A77F6"/>
    <w:rsid w:val="00CA7963"/>
    <w:rsid w:val="00CB2CE6"/>
    <w:rsid w:val="00CB35D9"/>
    <w:rsid w:val="00CB399B"/>
    <w:rsid w:val="00CD159A"/>
    <w:rsid w:val="00CE0AE1"/>
    <w:rsid w:val="00CE0B88"/>
    <w:rsid w:val="00CF08BB"/>
    <w:rsid w:val="00CF3376"/>
    <w:rsid w:val="00CF4B38"/>
    <w:rsid w:val="00D02EBF"/>
    <w:rsid w:val="00D030AD"/>
    <w:rsid w:val="00D07417"/>
    <w:rsid w:val="00D10386"/>
    <w:rsid w:val="00D15439"/>
    <w:rsid w:val="00D156FC"/>
    <w:rsid w:val="00D22FFD"/>
    <w:rsid w:val="00D231DB"/>
    <w:rsid w:val="00D30E68"/>
    <w:rsid w:val="00D3654F"/>
    <w:rsid w:val="00D4115E"/>
    <w:rsid w:val="00D47355"/>
    <w:rsid w:val="00D473FF"/>
    <w:rsid w:val="00D5069D"/>
    <w:rsid w:val="00D50C48"/>
    <w:rsid w:val="00D554AB"/>
    <w:rsid w:val="00D57397"/>
    <w:rsid w:val="00D61996"/>
    <w:rsid w:val="00D61E23"/>
    <w:rsid w:val="00D7619C"/>
    <w:rsid w:val="00D76935"/>
    <w:rsid w:val="00D77EBF"/>
    <w:rsid w:val="00D8674A"/>
    <w:rsid w:val="00D9415C"/>
    <w:rsid w:val="00D94590"/>
    <w:rsid w:val="00D97D62"/>
    <w:rsid w:val="00DA049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E4CDA"/>
    <w:rsid w:val="00DF4E3D"/>
    <w:rsid w:val="00DF62F4"/>
    <w:rsid w:val="00E0021E"/>
    <w:rsid w:val="00E0430F"/>
    <w:rsid w:val="00E04A81"/>
    <w:rsid w:val="00E05798"/>
    <w:rsid w:val="00E05E7B"/>
    <w:rsid w:val="00E136E5"/>
    <w:rsid w:val="00E1409F"/>
    <w:rsid w:val="00E22965"/>
    <w:rsid w:val="00E2351D"/>
    <w:rsid w:val="00E25DCD"/>
    <w:rsid w:val="00E269E1"/>
    <w:rsid w:val="00E31EED"/>
    <w:rsid w:val="00E337D0"/>
    <w:rsid w:val="00E42F90"/>
    <w:rsid w:val="00E44CBA"/>
    <w:rsid w:val="00E45F13"/>
    <w:rsid w:val="00E479C7"/>
    <w:rsid w:val="00E510BC"/>
    <w:rsid w:val="00E52BA4"/>
    <w:rsid w:val="00E530CC"/>
    <w:rsid w:val="00E61256"/>
    <w:rsid w:val="00E62D12"/>
    <w:rsid w:val="00E64187"/>
    <w:rsid w:val="00E65BF8"/>
    <w:rsid w:val="00E66B3B"/>
    <w:rsid w:val="00E73CB2"/>
    <w:rsid w:val="00E746D7"/>
    <w:rsid w:val="00E75E18"/>
    <w:rsid w:val="00E839BA"/>
    <w:rsid w:val="00E8428A"/>
    <w:rsid w:val="00E90D03"/>
    <w:rsid w:val="00E91B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4438D"/>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3C1C"/>
    <w:rsid w:val="00FB5828"/>
    <w:rsid w:val="00FB657F"/>
    <w:rsid w:val="00FB7DDF"/>
    <w:rsid w:val="00FC5023"/>
    <w:rsid w:val="00FD2271"/>
    <w:rsid w:val="00FE70E5"/>
    <w:rsid w:val="00FE7D09"/>
    <w:rsid w:val="00FF00BF"/>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19D510B3"/>
  <w15:docId w15:val="{2CF3FA64-84B2-4ACA-8D25-124EE15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ind w:left="851"/>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840D76"/>
    <w:pPr>
      <w:keepLines/>
      <w:widowControl/>
      <w:numPr>
        <w:numId w:val="5"/>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840D7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840D7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840D7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840D7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840D76"/>
    <w:pPr>
      <w:numPr>
        <w:numId w:val="5"/>
      </w:numPr>
    </w:pPr>
  </w:style>
  <w:style w:type="character" w:styleId="Kommentarzeichen">
    <w:name w:val="annotation reference"/>
    <w:basedOn w:val="Absatz-Standardschriftart"/>
    <w:unhideWhenUsed/>
    <w:rsid w:val="00840D76"/>
    <w:rPr>
      <w:sz w:val="16"/>
      <w:szCs w:val="16"/>
    </w:rPr>
  </w:style>
  <w:style w:type="paragraph" w:styleId="Kommentartext">
    <w:name w:val="annotation text"/>
    <w:basedOn w:val="Standard"/>
    <w:link w:val="KommentartextZchn"/>
    <w:uiPriority w:val="99"/>
    <w:unhideWhenUsed/>
    <w:rsid w:val="00840D76"/>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840D76"/>
    <w:rPr>
      <w:rFonts w:ascii="Arial" w:hAnsi="Arial" w:cstheme="minorBidi"/>
      <w:sz w:val="20"/>
      <w:szCs w:val="20"/>
    </w:rPr>
  </w:style>
  <w:style w:type="paragraph" w:customStyle="1" w:styleId="TextkrperTabelleklein">
    <w:name w:val="Textkörper Tabelle klein"/>
    <w:basedOn w:val="Standard"/>
    <w:qFormat/>
    <w:rsid w:val="00840D76"/>
    <w:pPr>
      <w:keepNext/>
      <w:keepLines/>
      <w:spacing w:line="300" w:lineRule="auto"/>
      <w:textboxTightWrap w:val="firstAndLastLine"/>
    </w:pPr>
    <w:rPr>
      <w:rFonts w:ascii="Arial" w:eastAsia="Times New Roman" w:hAnsi="Arial" w:cs="Times New Roman"/>
      <w:b/>
      <w:bCs w:val="0"/>
      <w:i/>
      <w:color w:val="FFFFFF" w:themeColor="background1"/>
      <w:spacing w:val="0"/>
      <w:sz w:val="18"/>
      <w:szCs w:val="24"/>
      <w:lang w:eastAsia="de-CH"/>
    </w:rPr>
  </w:style>
  <w:style w:type="paragraph" w:styleId="Kommentarthema">
    <w:name w:val="annotation subject"/>
    <w:basedOn w:val="Kommentartext"/>
    <w:next w:val="Kommentartext"/>
    <w:link w:val="KommentarthemaZchn"/>
    <w:uiPriority w:val="99"/>
    <w:semiHidden/>
    <w:unhideWhenUsed/>
    <w:rsid w:val="00055AD3"/>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055AD3"/>
    <w:rPr>
      <w:rFonts w:ascii="Arial" w:hAnsi="Arial"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7761003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8204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5DA8FFC-D45E-477A-9527-04463256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dc:description>Bezeichnung</dc:description>
  <cp:lastModifiedBy>Pardhan Tahir, FIN-KAIO-BR-R</cp:lastModifiedBy>
  <cp:revision>43</cp:revision>
  <cp:lastPrinted>2019-09-11T20:00:00Z</cp:lastPrinted>
  <dcterms:created xsi:type="dcterms:W3CDTF">2019-12-23T09:45:00Z</dcterms:created>
  <dcterms:modified xsi:type="dcterms:W3CDTF">2022-06-14T05:45:00Z</dcterms:modified>
</cp:coreProperties>
</file>